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6204"/>
        <w:gridCol w:w="1204"/>
        <w:gridCol w:w="2446"/>
      </w:tblGrid>
      <w:tr>
        <w:trPr>
          <w:trHeight w:val="2267"/>
        </w:trPr>
        <w:tc>
          <w:tcPr>
            <w:tcW w:w="3148" w:type="pct"/>
            <w:textDirection w:val="lrTb"/>
            <w:noWrap w:val="false"/>
          </w:tcPr>
          <w:p>
            <w:pPr>
              <w:pStyle w:val="1001"/>
            </w:pPr>
            <w:r/>
            <w:bookmarkStart w:id="0" w:name="_GoBack"/>
            <w:r/>
            <w:bookmarkEnd w:id="0"/>
            <w:r>
              <w:t xml:space="preserve">Утвержден</w:t>
            </w:r>
            <w:r/>
          </w:p>
          <w:p>
            <w:pPr>
              <w:pStyle w:val="1001"/>
            </w:pPr>
            <w:r>
              <w:t xml:space="preserve">54819512.20.05,04.ЭБ26.002-09.0</w:t>
            </w:r>
            <w:r>
              <w:t xml:space="preserve">1</w:t>
            </w:r>
            <w:r>
              <w:t xml:space="preserve"> 1(2,5,6,7,8)</w:t>
            </w:r>
            <w:r>
              <w:t xml:space="preserve">-ЛУ</w:t>
            </w:r>
            <w:r/>
          </w:p>
        </w:tc>
        <w:tc>
          <w:tcPr>
            <w:tcW w:w="611" w:type="pct"/>
            <w:textDirection w:val="lrTb"/>
            <w:noWrap w:val="false"/>
          </w:tcPr>
          <w:p>
            <w:pPr>
              <w:pStyle w:val="1001"/>
            </w:pPr>
            <w:r/>
            <w:r/>
          </w:p>
        </w:tc>
        <w:tc>
          <w:tcPr>
            <w:tcW w:w="1241" w:type="pct"/>
            <w:textDirection w:val="lrTb"/>
            <w:noWrap w:val="false"/>
          </w:tcPr>
          <w:p>
            <w:pPr>
              <w:pStyle w:val="1001"/>
            </w:pPr>
            <w:r/>
            <w:r/>
          </w:p>
        </w:tc>
      </w:tr>
      <w:tr>
        <w:trPr>
          <w:trHeight w:val="1803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003"/>
            </w:pPr>
            <w:r>
              <w:t xml:space="preserve">Государственная интегрированная информационная система управления общественными финансами «Электронный бюджет»</w:t>
            </w:r>
            <w:r/>
          </w:p>
          <w:p>
            <w:pPr>
              <w:pStyle w:val="1003"/>
              <w:ind w:firstLine="567"/>
            </w:pPr>
            <w:r/>
            <w:r/>
          </w:p>
          <w:p>
            <w:pPr>
              <w:pStyle w:val="1003"/>
              <w:ind w:firstLine="567"/>
            </w:pPr>
            <w:r>
              <w:t xml:space="preserve">Подсистема управления расходами</w:t>
            </w:r>
            <w:r/>
          </w:p>
        </w:tc>
      </w:tr>
      <w:tr>
        <w:trPr>
          <w:trHeight w:val="1803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003"/>
            </w:pPr>
            <w:r>
              <w:t xml:space="preserve">Модуль ведения операций по исполнению обязательств участников бюджетного процесса и операций со средствами юридических лиц, не являющихся участниками бюджетного процесса</w:t>
            </w:r>
            <w:r>
              <w:br/>
              <w:t xml:space="preserve">Компонент ведения денежных обязательств</w:t>
            </w:r>
            <w:r/>
          </w:p>
        </w:tc>
      </w:tr>
      <w:tr>
        <w:trPr>
          <w:trHeight w:val="1510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004"/>
              <w:rPr>
                <w:rFonts w:ascii="Times New Roman Полужирный" w:hAnsi="Times New Roman Полужирный"/>
              </w:rPr>
            </w:pPr>
            <w:r>
              <w:rPr>
                <w:rFonts w:ascii="Times New Roman Полужирный" w:hAnsi="Times New Roman Полужирный" w:eastAsia="Calibri"/>
              </w:rPr>
              <w:t xml:space="preserve">Руководство работников (представителей) участников ГИИС «Электронный бюджет» по работе с подсистемой (компонентом, модулем)</w:t>
            </w:r>
            <w:r/>
          </w:p>
        </w:tc>
      </w:tr>
      <w:tr>
        <w:trPr/>
        <w:tc>
          <w:tcPr>
            <w:gridSpan w:val="3"/>
            <w:tcW w:w="5000" w:type="pct"/>
            <w:vAlign w:val="bottom"/>
            <w:textDirection w:val="lrTb"/>
            <w:noWrap w:val="false"/>
          </w:tcPr>
          <w:p>
            <w:pPr>
              <w:pStyle w:val="1005"/>
            </w:pPr>
            <w:r>
              <w:t xml:space="preserve">Том 1. </w:t>
            </w:r>
            <w:r>
              <w:t xml:space="preserve">Руководство для сотрудников ГРБС, РБС, ПБС</w:t>
            </w:r>
            <w:r/>
          </w:p>
        </w:tc>
      </w:tr>
      <w:tr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001"/>
            </w:pPr>
            <w:r/>
            <w:r/>
          </w:p>
        </w:tc>
      </w:tr>
      <w:tr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001"/>
            </w:pPr>
            <w:r>
              <w:t xml:space="preserve">Код документа: </w:t>
            </w:r>
            <w:bookmarkStart w:id="1" w:name="OLE_LINK22"/>
            <w:r>
              <w:t xml:space="preserve">54819512.20.05,04.ЭБ26.002-09.0</w:t>
            </w:r>
            <w:r>
              <w:t xml:space="preserve">1</w:t>
            </w:r>
            <w:r>
              <w:t xml:space="preserve"> 1(2,5,6,7,8)</w:t>
            </w:r>
            <w:bookmarkEnd w:id="1"/>
            <w:r/>
            <w:r/>
          </w:p>
        </w:tc>
      </w:tr>
      <w:tr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001"/>
            </w:pPr>
            <w:r/>
            <w:r/>
          </w:p>
        </w:tc>
      </w:tr>
      <w:tr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1001"/>
            </w:pPr>
            <w:r>
              <w:t xml:space="preserve">Листов: </w:t>
            </w:r>
            <w:r>
              <w:fldChar w:fldCharType="begin"/>
            </w:r>
            <w:r>
              <w:instrText xml:space="preserve"> NUMPAGES   \* MERGEFORMAT </w:instrText>
            </w:r>
            <w:r>
              <w:fldChar w:fldCharType="separate"/>
            </w:r>
            <w:r>
              <w:t xml:space="preserve">149</w:t>
            </w:r>
            <w:r>
              <w:fldChar w:fldCharType="end"/>
            </w:r>
            <w:r/>
          </w:p>
        </w:tc>
      </w:tr>
      <w:tr>
        <w:trPr/>
        <w:tc>
          <w:tcPr>
            <w:gridSpan w:val="3"/>
            <w:tcW w:w="5000" w:type="pct"/>
            <w:textDirection w:val="lrTb"/>
            <w:noWrap w:val="false"/>
          </w:tcPr>
          <w:p>
            <w:pPr>
              <w:pStyle w:val="1001"/>
            </w:pPr>
            <w:r/>
            <w:r/>
          </w:p>
          <w:p>
            <w:pPr>
              <w:pStyle w:val="1001"/>
            </w:pPr>
            <w:r/>
            <w:r/>
          </w:p>
          <w:p>
            <w:pPr>
              <w:pStyle w:val="1001"/>
            </w:pPr>
            <w:r/>
            <w:r/>
          </w:p>
          <w:p>
            <w:pPr>
              <w:pStyle w:val="1001"/>
            </w:pPr>
            <w:r/>
            <w:r/>
          </w:p>
          <w:p>
            <w:pPr>
              <w:pStyle w:val="1001"/>
            </w:pPr>
            <w:r/>
            <w:r/>
          </w:p>
        </w:tc>
      </w:tr>
    </w:tbl>
    <w:p>
      <w:pPr>
        <w:pStyle w:val="986"/>
        <w:sectPr>
          <w:headerReference w:type="default" r:id="rId9"/>
          <w:headerReference w:type="first" r:id="rId10"/>
          <w:footerReference w:type="default" r:id="rId12"/>
          <w:footerReference w:type="first" r:id="rId13"/>
          <w:footnotePr/>
          <w:endnotePr/>
          <w:type w:val="nextPage"/>
          <w:pgSz w:w="11906" w:h="16838" w:orient="portrait"/>
          <w:pgMar w:top="1134" w:right="567" w:bottom="851" w:left="1701" w:header="567" w:footer="284" w:gutter="0"/>
          <w:cols w:num="1" w:sep="0" w:space="708" w:equalWidth="1"/>
          <w:docGrid w:linePitch="360"/>
        </w:sectPr>
      </w:pPr>
      <w:r/>
      <w:r/>
    </w:p>
    <w:p>
      <w:pPr>
        <w:pStyle w:val="991"/>
        <w:rPr>
          <w:rFonts w:ascii="Times New Roman Полужирный" w:hAnsi="Times New Roman Полужирный"/>
        </w:rPr>
        <w:outlineLvl w:val="4"/>
      </w:pPr>
      <w:r/>
      <w:bookmarkStart w:id="2" w:name="_Toc176584673"/>
      <w:r/>
      <w:bookmarkStart w:id="3" w:name="_Toc176584802"/>
      <w:r/>
      <w:bookmarkStart w:id="4" w:name="_Toc180297702"/>
      <w:r/>
      <w:bookmarkStart w:id="5" w:name="_Toc180308527"/>
      <w:r>
        <w:rPr>
          <w:rFonts w:ascii="Times New Roman Полужирный" w:hAnsi="Times New Roman Полужирный"/>
        </w:rPr>
        <w:t xml:space="preserve">Аннотация</w:t>
      </w:r>
      <w:r/>
    </w:p>
    <w:p>
      <w:pPr>
        <w:pStyle w:val="985"/>
      </w:pPr>
      <w:r>
        <w:t xml:space="preserve">В документе приводится описание </w:t>
      </w:r>
      <w:r>
        <w:t xml:space="preserve">операций, выполняемых пользователем при работе</w:t>
      </w:r>
      <w:r>
        <w:t xml:space="preserve"> с</w:t>
      </w:r>
      <w:r>
        <w:t xml:space="preserve"> </w:t>
      </w:r>
      <w:r>
        <w:t xml:space="preserve">Компонентом </w:t>
      </w:r>
      <w:r>
        <w:t xml:space="preserve">ведения денежных обязательств модуля </w:t>
      </w:r>
      <w:r>
        <w:t xml:space="preserve">ведения операций по исполнению обязательств участников бюджетного процесса и операций со средствами юридических лиц, не являющихся участниками бюджетного процесса</w:t>
      </w:r>
      <w:r>
        <w:t xml:space="preserve">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>
        <w:t xml:space="preserve">.</w:t>
      </w:r>
      <w:r/>
    </w:p>
    <w:p>
      <w:pPr>
        <w:pStyle w:val="985"/>
      </w:pPr>
      <w:r>
        <w:t xml:space="preserve">Документ актуализирован на основании Государственного контракта № ФКУ0173/06/2020/РИС от 09.06.2020 (1-й период работ по развитию подсистемы управления расходами)</w:t>
      </w:r>
      <w:r>
        <w:t xml:space="preserve">.</w:t>
      </w:r>
      <w:r/>
    </w:p>
    <w:p>
      <w:pPr>
        <w:pStyle w:val="985"/>
      </w:pPr>
      <w:r>
        <w:t xml:space="preserve">В настоящем документе при указании по тексту наименования документов без реквизитов считать, что эти документы разрабатываются/актуализируются в рамках текущего Государственного контракта.</w:t>
      </w:r>
      <w:r/>
    </w:p>
    <w:p>
      <w:pPr>
        <w:pStyle w:val="991"/>
        <w:outlineLvl w:val="4"/>
      </w:pPr>
      <w:r>
        <w:br w:type="page"/>
      </w:r>
      <w:bookmarkEnd w:id="2"/>
      <w:r/>
      <w:bookmarkEnd w:id="3"/>
      <w:r/>
      <w:bookmarkEnd w:id="4"/>
      <w:r/>
      <w:bookmarkEnd w:id="5"/>
      <w:r>
        <w:rPr>
          <w:caps w:val="0"/>
        </w:rPr>
        <w:t xml:space="preserve">СОДЕРЖАНИЕ</w:t>
      </w:r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>
        <w:rPr>
          <w:rFonts w:ascii="Arial" w:hAnsi="Arial"/>
          <w:bCs w:val="0"/>
          <w:sz w:val="28"/>
          <w:lang w:eastAsia="en-US"/>
        </w:rPr>
        <w:fldChar w:fldCharType="begin"/>
      </w:r>
      <w:r>
        <w:instrText xml:space="preserve"> TOC \o "1-3" \h \z \u </w:instrText>
      </w:r>
      <w:r>
        <w:rPr>
          <w:rFonts w:ascii="Arial" w:hAnsi="Arial"/>
          <w:bCs w:val="0"/>
          <w:sz w:val="28"/>
          <w:lang w:eastAsia="en-US"/>
        </w:rPr>
        <w:fldChar w:fldCharType="separate"/>
      </w:r>
      <w:hyperlink w:tooltip="#_Toc62446023" w:anchor="_Toc62446023" w:history="1">
        <w:r>
          <w:rPr>
            <w:rStyle w:val="1011"/>
          </w:rPr>
          <w:t xml:space="preserve">Перечень таблиц</w:t>
        </w:r>
        <w:r>
          <w:tab/>
        </w:r>
        <w:r>
          <w:fldChar w:fldCharType="begin"/>
        </w:r>
        <w:r>
          <w:instrText xml:space="preserve"> PAGEREF _Toc62446023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24" w:anchor="_Toc62446024" w:history="1">
        <w:r>
          <w:rPr>
            <w:rStyle w:val="1011"/>
          </w:rPr>
          <w:t xml:space="preserve">Перечень рисунков</w:t>
        </w:r>
        <w:r>
          <w:tab/>
        </w:r>
        <w:r>
          <w:fldChar w:fldCharType="begin"/>
        </w:r>
        <w:r>
          <w:instrText xml:space="preserve"> PAGEREF _Toc62446024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25" w:anchor="_Toc62446025" w:history="1">
        <w:r>
          <w:rPr>
            <w:rStyle w:val="1011"/>
          </w:rPr>
          <w:t xml:space="preserve">Перечень терминов и сокращений</w:t>
        </w:r>
        <w:r>
          <w:tab/>
        </w:r>
        <w:r>
          <w:fldChar w:fldCharType="begin"/>
        </w:r>
        <w:r>
          <w:instrText xml:space="preserve"> PAGEREF _Toc62446025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26" w:anchor="_Toc62446026" w:history="1">
        <w:r>
          <w:rPr>
            <w:rStyle w:val="1011"/>
            <w:rFonts w:ascii="Times New Roman Полужирный" w:hAnsi="Times New Roman Полужирный"/>
          </w:rPr>
          <w:t xml:space="preserve">1.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011"/>
            <w:rFonts w:ascii="Times New Roman Полужирный" w:hAnsi="Times New Roman Полужирный"/>
          </w:rPr>
          <w:t xml:space="preserve">Общие сведения</w:t>
        </w:r>
        <w:r>
          <w:tab/>
        </w:r>
        <w:r>
          <w:fldChar w:fldCharType="begin"/>
        </w:r>
        <w:r>
          <w:instrText xml:space="preserve"> PAGEREF _Toc62446026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27" w:anchor="_Toc62446027" w:history="1">
        <w:r>
          <w:rPr>
            <w:rStyle w:val="1011"/>
          </w:rPr>
          <w:t xml:space="preserve">1.1.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Назначение Компонента ДО ПУР ЭБ</w:t>
        </w:r>
        <w:r>
          <w:tab/>
        </w:r>
        <w:r>
          <w:fldChar w:fldCharType="begin"/>
        </w:r>
        <w:r>
          <w:instrText xml:space="preserve"> PAGEREF _Toc62446027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28" w:anchor="_Toc62446028" w:history="1">
        <w:r>
          <w:rPr>
            <w:rStyle w:val="1011"/>
          </w:rPr>
          <w:t xml:space="preserve">1.2.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Условия применения Компонента ДО ПУР ЭБ</w:t>
        </w:r>
        <w:r>
          <w:tab/>
        </w:r>
        <w:r>
          <w:fldChar w:fldCharType="begin"/>
        </w:r>
        <w:r>
          <w:instrText xml:space="preserve"> PAGEREF _Toc62446028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29" w:anchor="_Toc62446029" w:history="1">
        <w:r>
          <w:rPr>
            <w:rStyle w:val="1011"/>
          </w:rPr>
          <w:t xml:space="preserve">1.3.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Описание требуемого уровня подготовки работника</w:t>
        </w:r>
        <w:r>
          <w:tab/>
        </w:r>
        <w:r>
          <w:fldChar w:fldCharType="begin"/>
        </w:r>
        <w:r>
          <w:instrText xml:space="preserve"> PAGEREF _Toc62446029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30" w:anchor="_Toc62446030" w:history="1">
        <w:r>
          <w:rPr>
            <w:rStyle w:val="1011"/>
          </w:rPr>
          <w:t xml:space="preserve">1.4.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Перечень эксплуатационной документации, с которой необходимо ознакомиться работнику</w:t>
        </w:r>
        <w:r>
          <w:tab/>
        </w:r>
        <w:r>
          <w:fldChar w:fldCharType="begin"/>
        </w:r>
        <w:r>
          <w:instrText xml:space="preserve"> PAGEREF _Toc62446030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31" w:anchor="_Toc62446031" w:history="1">
        <w:r>
          <w:rPr>
            <w:rStyle w:val="1011"/>
            <w:rFonts w:ascii="Times New Roman Полужирный" w:hAnsi="Times New Roman Полужирный"/>
          </w:rPr>
          <w:t xml:space="preserve">2.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011"/>
            <w:rFonts w:ascii="Times New Roman Полужирный" w:hAnsi="Times New Roman Полужирный"/>
          </w:rPr>
          <w:t xml:space="preserve">Описание порядка работы с Компонентом ДО ПУР ЭБ</w:t>
        </w:r>
        <w:r>
          <w:tab/>
        </w:r>
        <w:r>
          <w:fldChar w:fldCharType="begin"/>
        </w:r>
        <w:r>
          <w:instrText xml:space="preserve"> PAGEREF _Toc62446031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32" w:anchor="_Toc62446032" w:history="1">
        <w:r>
          <w:rPr>
            <w:rStyle w:val="1011"/>
            <w:rFonts w:ascii="Times New Roman Полужирный" w:hAnsi="Times New Roman Полужирный"/>
          </w:rPr>
          <w:t xml:space="preserve">3.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011"/>
            <w:rFonts w:ascii="Times New Roman Полужирный" w:hAnsi="Times New Roman Полужирный"/>
          </w:rPr>
          <w:t xml:space="preserve">Перечень, структура, описание порядка поступления и способа передачи информации в Компоненте ДО ПУР ЭБ</w:t>
        </w:r>
        <w:r>
          <w:tab/>
        </w:r>
        <w:r>
          <w:fldChar w:fldCharType="begin"/>
        </w:r>
        <w:r>
          <w:instrText xml:space="preserve"> PAGEREF _Toc62446032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33" w:anchor="_Toc62446033" w:history="1">
        <w:r>
          <w:rPr>
            <w:rStyle w:val="1011"/>
          </w:rPr>
          <w:t xml:space="preserve">4.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011"/>
          </w:rPr>
          <w:t xml:space="preserve">Описание функций и бизнес-процессов Компонента ДО ПУР ЭБ</w:t>
        </w:r>
        <w:r>
          <w:tab/>
        </w:r>
        <w:r>
          <w:fldChar w:fldCharType="begin"/>
        </w:r>
        <w:r>
          <w:instrText xml:space="preserve"> PAGEREF _Toc62446033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34" w:anchor="_Toc62446034" w:history="1">
        <w:r>
          <w:rPr>
            <w:rStyle w:val="1011"/>
          </w:rPr>
          <w:t xml:space="preserve">4.1.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Бизнес-процесс «Предоставление документа «Сведения о денежном обязательстве» на стороне Клиента»</w:t>
        </w:r>
        <w:r>
          <w:tab/>
        </w:r>
        <w:r>
          <w:fldChar w:fldCharType="begin"/>
        </w:r>
        <w:r>
          <w:instrText xml:space="preserve"> PAGEREF _Toc62446034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35" w:anchor="_Toc62446035" w:history="1">
        <w:r>
          <w:rPr>
            <w:rStyle w:val="1011"/>
          </w:rPr>
          <w:t xml:space="preserve">4.2.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Бизнес-процесс «Постановка на учет ДО и отражение ДО на ЛС»</w:t>
        </w:r>
        <w:r>
          <w:tab/>
        </w:r>
        <w:r>
          <w:fldChar w:fldCharType="begin"/>
        </w:r>
        <w:r>
          <w:instrText xml:space="preserve"> PAGEREF _Toc62446035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36" w:anchor="_Toc62446036" w:history="1">
        <w:r>
          <w:rPr>
            <w:rStyle w:val="1011"/>
          </w:rPr>
          <w:t xml:space="preserve">4.3.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Бизнес-процесс «Формирование и передача информации о постановке на учет ДО»</w:t>
        </w:r>
        <w:r>
          <w:tab/>
        </w:r>
        <w:r>
          <w:fldChar w:fldCharType="begin"/>
        </w:r>
        <w:r>
          <w:instrText xml:space="preserve"> PAGEREF _Toc62446036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37" w:anchor="_Toc62446037" w:history="1">
        <w:r>
          <w:rPr>
            <w:rStyle w:val="1011"/>
          </w:rPr>
          <w:t xml:space="preserve">4.4.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Бизнес-процесс «Формирование и предоставление отчётности по ДО в соответствии с Приказом Минфина России № 258н»</w:t>
        </w:r>
        <w:r>
          <w:tab/>
        </w:r>
        <w:r>
          <w:fldChar w:fldCharType="begin"/>
        </w:r>
        <w:r>
          <w:instrText xml:space="preserve"> PAGEREF _Toc62446037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38" w:anchor="_Toc62446038" w:history="1">
        <w:r>
          <w:rPr>
            <w:rStyle w:val="1011"/>
          </w:rPr>
          <w:t xml:space="preserve">4.5.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Бизнес-процесс «Предоставление документа «Универсальный передаточный документ» на основании УПД на стороне Клиента»</w:t>
        </w:r>
        <w:r>
          <w:tab/>
        </w:r>
        <w:r>
          <w:fldChar w:fldCharType="begin"/>
        </w:r>
        <w:r>
          <w:instrText xml:space="preserve"> PAGEREF _Toc62446038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39" w:anchor="_Toc62446039" w:history="1">
        <w:r>
          <w:rPr>
            <w:rStyle w:val="1011"/>
          </w:rPr>
          <w:t xml:space="preserve">4.6.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Бизнес-процесс «Создание и обработка ЗКР, сформированных на основании УПД, на стороне Клиента»</w:t>
        </w:r>
        <w:r>
          <w:tab/>
        </w:r>
        <w:r>
          <w:fldChar w:fldCharType="begin"/>
        </w:r>
        <w:r>
          <w:instrText xml:space="preserve"> PAGEREF _Toc62446039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40" w:anchor="_Toc62446040" w:history="1">
        <w:r>
          <w:rPr>
            <w:rStyle w:val="1011"/>
            <w:rFonts w:ascii="Times New Roman Полужирный" w:hAnsi="Times New Roman Полужирный"/>
          </w:rPr>
          <w:t xml:space="preserve">5.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011"/>
            <w:rFonts w:ascii="Times New Roman Полужирный" w:hAnsi="Times New Roman Полужирный"/>
          </w:rPr>
          <w:t xml:space="preserve">Описание последовательности действий работника</w:t>
        </w:r>
        <w:r>
          <w:tab/>
        </w:r>
        <w:r>
          <w:fldChar w:fldCharType="begin"/>
        </w:r>
        <w:r>
          <w:instrText xml:space="preserve"> PAGEREF _Toc62446040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41" w:anchor="_Toc62446041" w:history="1">
        <w:r>
          <w:rPr>
            <w:rStyle w:val="1011"/>
          </w:rPr>
          <w:t xml:space="preserve">5.1.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Запуск системы</w:t>
        </w:r>
        <w:r>
          <w:tab/>
        </w:r>
        <w:r>
          <w:fldChar w:fldCharType="begin"/>
        </w:r>
        <w:r>
          <w:instrText xml:space="preserve"> PAGEREF _Toc62446041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42" w:anchor="_Toc62446042" w:history="1">
        <w:r>
          <w:rPr>
            <w:rStyle w:val="1011"/>
          </w:rPr>
          <w:t xml:space="preserve">5.1.1.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Авторизация в Личном кабинете веб-портала, предоставляющего доступ пользователям к функциям ППО</w:t>
        </w:r>
        <w:r>
          <w:tab/>
        </w:r>
        <w:r>
          <w:fldChar w:fldCharType="begin"/>
        </w:r>
        <w:r>
          <w:instrText xml:space="preserve"> PAGEREF _Toc62446042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43" w:anchor="_Toc62446043" w:history="1">
        <w:r>
          <w:rPr>
            <w:rStyle w:val="1011"/>
          </w:rPr>
          <w:t xml:space="preserve">5.2.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Описание интерфейса, управляющих элементов и сообщений Компонента ДО ПУР ЭБ</w:t>
        </w:r>
        <w:r>
          <w:tab/>
        </w:r>
        <w:r>
          <w:fldChar w:fldCharType="begin"/>
        </w:r>
        <w:r>
          <w:instrText xml:space="preserve"> PAGEREF _Toc62446043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44" w:anchor="_Toc62446044" w:history="1">
        <w:r>
          <w:rPr>
            <w:rStyle w:val="1011"/>
          </w:rPr>
          <w:t xml:space="preserve">5.2.1.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Навигация</w:t>
        </w:r>
        <w:r>
          <w:tab/>
        </w:r>
        <w:r>
          <w:fldChar w:fldCharType="begin"/>
        </w:r>
        <w:r>
          <w:instrText xml:space="preserve"> PAGEREF _Toc62446044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45" w:anchor="_Toc62446045" w:history="1">
        <w:r>
          <w:rPr>
            <w:rStyle w:val="1011"/>
          </w:rPr>
          <w:t xml:space="preserve">5.2.2.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Списковая форма</w:t>
        </w:r>
        <w:r>
          <w:tab/>
        </w:r>
        <w:r>
          <w:fldChar w:fldCharType="begin"/>
        </w:r>
        <w:r>
          <w:instrText xml:space="preserve"> PAGEREF _Toc62446045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46" w:anchor="_Toc62446046" w:history="1">
        <w:r>
          <w:rPr>
            <w:rStyle w:val="1011"/>
          </w:rPr>
          <w:t xml:space="preserve">5.2.3.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Фильтр-папки</w:t>
        </w:r>
        <w:r>
          <w:tab/>
        </w:r>
        <w:r>
          <w:fldChar w:fldCharType="begin"/>
        </w:r>
        <w:r>
          <w:instrText xml:space="preserve"> PAGEREF _Toc62446046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47" w:anchor="_Toc62446047" w:history="1">
        <w:r>
          <w:rPr>
            <w:rStyle w:val="1011"/>
          </w:rPr>
          <w:t xml:space="preserve">5.2.4.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Панель инструментов</w:t>
        </w:r>
        <w:r>
          <w:tab/>
        </w:r>
        <w:r>
          <w:fldChar w:fldCharType="begin"/>
        </w:r>
        <w:r>
          <w:instrText xml:space="preserve"> PAGEREF _Toc62446047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48" w:anchor="_Toc62446048" w:history="1">
        <w:r>
          <w:rPr>
            <w:rStyle w:val="1011"/>
          </w:rPr>
          <w:t xml:space="preserve">5.3.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Формирование и ведение справочников</w:t>
        </w:r>
        <w:r>
          <w:tab/>
        </w:r>
        <w:r>
          <w:fldChar w:fldCharType="begin"/>
        </w:r>
        <w:r>
          <w:instrText xml:space="preserve"> PAGEREF _Toc62446048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49" w:anchor="_Toc62446049" w:history="1">
        <w:r>
          <w:rPr>
            <w:rStyle w:val="1011"/>
          </w:rPr>
          <w:t xml:space="preserve">5.3.1.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Заполнение справочника «Шаблон листа согласования»</w:t>
        </w:r>
        <w:r>
          <w:tab/>
        </w:r>
        <w:r>
          <w:fldChar w:fldCharType="begin"/>
        </w:r>
        <w:r>
          <w:instrText xml:space="preserve"> PAGEREF _Toc62446049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0" w:anchor="_Toc62446050" w:history="1">
        <w:r>
          <w:rPr>
            <w:rStyle w:val="1011"/>
          </w:rPr>
          <w:t xml:space="preserve">5.3.2.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Общие справочники</w:t>
        </w:r>
        <w:r>
          <w:tab/>
        </w:r>
        <w:r>
          <w:fldChar w:fldCharType="begin"/>
        </w:r>
        <w:r>
          <w:instrText xml:space="preserve"> PAGEREF _Toc62446050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51" w:anchor="_Toc62446051" w:history="1">
        <w:r>
          <w:rPr>
            <w:rStyle w:val="1011"/>
          </w:rPr>
          <w:t xml:space="preserve">5.4.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Формуляр «Сведения о ДО»</w:t>
        </w:r>
        <w:r>
          <w:tab/>
        </w:r>
        <w:r>
          <w:fldChar w:fldCharType="begin"/>
        </w:r>
        <w:r>
          <w:instrText xml:space="preserve"> PAGEREF _Toc62446051 \h </w:instrText>
        </w:r>
        <w:r/>
        <w:r>
          <w:fldChar w:fldCharType="separate"/>
        </w:r>
        <w:r>
          <w:t xml:space="preserve">104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2" w:anchor="_Toc62446052" w:history="1">
        <w:r>
          <w:rPr>
            <w:rStyle w:val="1011"/>
          </w:rPr>
          <w:t xml:space="preserve">5.4.1.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Создание клиентом в Компоненте ДО ПУР ЭБ экземпляра формуляра «Сведения о ДО»</w:t>
        </w:r>
        <w:r>
          <w:tab/>
        </w:r>
        <w:r>
          <w:fldChar w:fldCharType="begin"/>
        </w:r>
        <w:r>
          <w:instrText xml:space="preserve"> PAGEREF _Toc62446052 \h </w:instrText>
        </w:r>
        <w:r/>
        <w:r>
          <w:fldChar w:fldCharType="separate"/>
        </w:r>
        <w:r>
          <w:t xml:space="preserve">104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3" w:anchor="_Toc62446053" w:history="1">
        <w:r>
          <w:rPr>
            <w:rStyle w:val="1011"/>
          </w:rPr>
          <w:t xml:space="preserve">5.4.2.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Редактирование листа согласования документа «Сведения о ДО»</w:t>
        </w:r>
        <w:r>
          <w:tab/>
        </w:r>
        <w:r>
          <w:fldChar w:fldCharType="begin"/>
        </w:r>
        <w:r>
          <w:instrText xml:space="preserve"> PAGEREF _Toc62446053 \h </w:instrText>
        </w:r>
        <w:r/>
        <w:r>
          <w:fldChar w:fldCharType="separate"/>
        </w:r>
        <w:r>
          <w:t xml:space="preserve">119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4" w:anchor="_Toc62446054" w:history="1">
        <w:r>
          <w:rPr>
            <w:rStyle w:val="1011"/>
          </w:rPr>
          <w:t xml:space="preserve">5.4.3.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Согласование документа «Сведения о ДО»</w:t>
        </w:r>
        <w:r>
          <w:tab/>
        </w:r>
        <w:r>
          <w:fldChar w:fldCharType="begin"/>
        </w:r>
        <w:r>
          <w:instrText xml:space="preserve"> PAGEREF _Toc62446054 \h </w:instrText>
        </w:r>
        <w:r/>
        <w:r>
          <w:fldChar w:fldCharType="separate"/>
        </w:r>
        <w:r>
          <w:t xml:space="preserve">119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5" w:anchor="_Toc62446055" w:history="1">
        <w:r>
          <w:rPr>
            <w:rStyle w:val="1011"/>
          </w:rPr>
          <w:t xml:space="preserve">5.4.4.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Утверждение документа «Сведения о ДО»</w:t>
        </w:r>
        <w:r>
          <w:tab/>
        </w:r>
        <w:r>
          <w:fldChar w:fldCharType="begin"/>
        </w:r>
        <w:r>
          <w:instrText xml:space="preserve"> PAGEREF _Toc62446055 \h </w:instrText>
        </w:r>
        <w:r/>
        <w:r>
          <w:fldChar w:fldCharType="separate"/>
        </w:r>
        <w:r>
          <w:t xml:space="preserve">120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6" w:anchor="_Toc62446056" w:history="1">
        <w:r>
          <w:rPr>
            <w:rStyle w:val="1011"/>
          </w:rPr>
          <w:t xml:space="preserve">5.4.5.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Отправка на доработку документа «Сведения о ДО» со статуса «На согласовании» и его дальнейшая обработка</w:t>
        </w:r>
        <w:r>
          <w:tab/>
        </w:r>
        <w:r>
          <w:fldChar w:fldCharType="begin"/>
        </w:r>
        <w:r>
          <w:instrText xml:space="preserve"> PAGEREF _Toc62446056 \h </w:instrText>
        </w:r>
        <w:r/>
        <w:r>
          <w:fldChar w:fldCharType="separate"/>
        </w:r>
        <w:r>
          <w:t xml:space="preserve">123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7" w:anchor="_Toc62446057" w:history="1">
        <w:r>
          <w:rPr>
            <w:rStyle w:val="1011"/>
          </w:rPr>
          <w:t xml:space="preserve">5.4.6.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Отправка на доработку документа «Сведения о ДО» со статуса «На утверждении» и его дальнейшая обработка</w:t>
        </w:r>
        <w:r>
          <w:tab/>
        </w:r>
        <w:r>
          <w:fldChar w:fldCharType="begin"/>
        </w:r>
        <w:r>
          <w:instrText xml:space="preserve"> PAGEREF _Toc62446057 \h </w:instrText>
        </w:r>
        <w:r/>
        <w:r>
          <w:fldChar w:fldCharType="separate"/>
        </w:r>
        <w:r>
          <w:t xml:space="preserve">124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8" w:anchor="_Toc62446058" w:history="1">
        <w:r>
          <w:rPr>
            <w:rStyle w:val="1011"/>
          </w:rPr>
          <w:t xml:space="preserve">5.4.7.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Отзыв документа «Сведения о ДО»</w:t>
        </w:r>
        <w:r>
          <w:tab/>
        </w:r>
        <w:r>
          <w:fldChar w:fldCharType="begin"/>
        </w:r>
        <w:r>
          <w:instrText xml:space="preserve"> PAGEREF _Toc62446058 \h </w:instrText>
        </w:r>
        <w:r/>
        <w:r>
          <w:fldChar w:fldCharType="separate"/>
        </w:r>
        <w:r>
          <w:t xml:space="preserve">125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59" w:anchor="_Toc62446059" w:history="1">
        <w:r>
          <w:rPr>
            <w:rStyle w:val="1011"/>
          </w:rPr>
          <w:t xml:space="preserve">5.4.8.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Печать документа (нескольких документов) «Сведения о ДО», печать списка документов</w:t>
        </w:r>
        <w:r>
          <w:tab/>
        </w:r>
        <w:r>
          <w:fldChar w:fldCharType="begin"/>
        </w:r>
        <w:r>
          <w:instrText xml:space="preserve"> PAGEREF _Toc62446059 \h </w:instrText>
        </w:r>
        <w:r/>
        <w:r>
          <w:fldChar w:fldCharType="separate"/>
        </w:r>
        <w:r>
          <w:t xml:space="preserve">125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60" w:anchor="_Toc62446060" w:history="1">
        <w:r>
          <w:rPr>
            <w:rStyle w:val="1011"/>
          </w:rPr>
          <w:t xml:space="preserve">5.4.9.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Получение из внешних систем документа «Сведения о ДО»</w:t>
        </w:r>
        <w:r>
          <w:tab/>
        </w:r>
        <w:r>
          <w:fldChar w:fldCharType="begin"/>
        </w:r>
        <w:r>
          <w:instrText xml:space="preserve"> PAGEREF _Toc62446060 \h </w:instrText>
        </w:r>
        <w:r/>
        <w:r>
          <w:fldChar w:fldCharType="separate"/>
        </w:r>
        <w:r>
          <w:t xml:space="preserve">127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61" w:anchor="_Toc62446061" w:history="1">
        <w:r>
          <w:rPr>
            <w:rStyle w:val="1011"/>
          </w:rPr>
          <w:t xml:space="preserve">5.4.10.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Экспорт документа «Сведения о ДО»</w:t>
        </w:r>
        <w:r>
          <w:tab/>
        </w:r>
        <w:r>
          <w:fldChar w:fldCharType="begin"/>
        </w:r>
        <w:r>
          <w:instrText xml:space="preserve"> PAGEREF _Toc62446061 \h </w:instrText>
        </w:r>
        <w:r/>
        <w:r>
          <w:fldChar w:fldCharType="separate"/>
        </w:r>
        <w:r>
          <w:t xml:space="preserve">128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62" w:anchor="_Toc62446062" w:history="1">
        <w:r>
          <w:rPr>
            <w:rStyle w:val="1011"/>
          </w:rPr>
          <w:t xml:space="preserve">5.4.11.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Формирование СДО организациями, принявшими полномочия получателей бюджетных средств по 14 ЛС</w:t>
        </w:r>
        <w:r>
          <w:tab/>
        </w:r>
        <w:r>
          <w:fldChar w:fldCharType="begin"/>
        </w:r>
        <w:r>
          <w:instrText xml:space="preserve"> PAGEREF _Toc62446062 \h </w:instrText>
        </w:r>
        <w:r/>
        <w:r>
          <w:fldChar w:fldCharType="separate"/>
        </w:r>
        <w:r>
          <w:t xml:space="preserve">129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63" w:anchor="_Toc62446063" w:history="1">
        <w:r>
          <w:rPr>
            <w:rStyle w:val="1011"/>
          </w:rPr>
          <w:t xml:space="preserve">5.4.12.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Работа с документами «Сведения о ДО» после их согласования в ТОФК</w:t>
        </w:r>
        <w:r>
          <w:tab/>
        </w:r>
        <w:r>
          <w:fldChar w:fldCharType="begin"/>
        </w:r>
        <w:r>
          <w:instrText xml:space="preserve"> PAGEREF _Toc62446063 \h </w:instrText>
        </w:r>
        <w:r/>
        <w:r>
          <w:fldChar w:fldCharType="separate"/>
        </w:r>
        <w:r>
          <w:t xml:space="preserve">130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64" w:anchor="_Toc62446064" w:history="1">
        <w:r>
          <w:rPr>
            <w:rStyle w:val="1011"/>
          </w:rPr>
          <w:t xml:space="preserve">5.4.13.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Просмотр записи в Перечне ДО</w:t>
        </w:r>
        <w:r>
          <w:tab/>
        </w:r>
        <w:r>
          <w:fldChar w:fldCharType="begin"/>
        </w:r>
        <w:r>
          <w:instrText xml:space="preserve"> PAGEREF _Toc62446064 \h </w:instrText>
        </w:r>
        <w:r/>
        <w:r>
          <w:fldChar w:fldCharType="separate"/>
        </w:r>
        <w:r>
          <w:t xml:space="preserve">130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65" w:anchor="_Toc62446065" w:history="1">
        <w:r>
          <w:rPr>
            <w:rStyle w:val="1011"/>
          </w:rPr>
          <w:t xml:space="preserve">5.5.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Формуляр «Извещение о постановке на учет ДО»</w:t>
        </w:r>
        <w:r>
          <w:tab/>
        </w:r>
        <w:r>
          <w:fldChar w:fldCharType="begin"/>
        </w:r>
        <w:r>
          <w:instrText xml:space="preserve"> PAGEREF _Toc62446065 \h </w:instrText>
        </w:r>
        <w:r/>
        <w:r>
          <w:fldChar w:fldCharType="separate"/>
        </w:r>
        <w:r>
          <w:t xml:space="preserve">132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66" w:anchor="_Toc62446066" w:history="1">
        <w:r>
          <w:rPr>
            <w:rStyle w:val="1011"/>
          </w:rPr>
          <w:t xml:space="preserve">5.5.1.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Просмотр экземпляра формуляра «Извещение о постановке на учет ДО»</w:t>
        </w:r>
        <w:r>
          <w:tab/>
        </w:r>
        <w:r>
          <w:fldChar w:fldCharType="begin"/>
        </w:r>
        <w:r>
          <w:instrText xml:space="preserve"> PAGEREF _Toc62446066 \h </w:instrText>
        </w:r>
        <w:r/>
        <w:r>
          <w:fldChar w:fldCharType="separate"/>
        </w:r>
        <w:r>
          <w:t xml:space="preserve">132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67" w:anchor="_Toc62446067" w:history="1">
        <w:r>
          <w:rPr>
            <w:rStyle w:val="1011"/>
            <w:lang w:val="en-US" w:eastAsia="zh-CN"/>
          </w:rPr>
          <w:t xml:space="preserve">5.6.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Работа с формуляром «Протокол»</w:t>
        </w:r>
        <w:r>
          <w:tab/>
        </w:r>
        <w:r>
          <w:fldChar w:fldCharType="begin"/>
        </w:r>
        <w:r>
          <w:instrText xml:space="preserve"> PAGEREF _Toc62446067 \h </w:instrText>
        </w:r>
        <w:r/>
        <w:r>
          <w:fldChar w:fldCharType="separate"/>
        </w:r>
        <w:r>
          <w:t xml:space="preserve">134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68" w:anchor="_Toc62446068" w:history="1">
        <w:r>
          <w:rPr>
            <w:rStyle w:val="1011"/>
            <w:lang w:eastAsia="zh-CN"/>
          </w:rPr>
          <w:t xml:space="preserve">5.6.1.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Просмотр экземпляра формуляра «Протокол»</w:t>
        </w:r>
        <w:r>
          <w:tab/>
        </w:r>
        <w:r>
          <w:fldChar w:fldCharType="begin"/>
        </w:r>
        <w:r>
          <w:instrText xml:space="preserve"> PAGEREF _Toc62446068 \h </w:instrText>
        </w:r>
        <w:r/>
        <w:r>
          <w:fldChar w:fldCharType="separate"/>
        </w:r>
        <w:r>
          <w:t xml:space="preserve">134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69" w:anchor="_Toc62446069" w:history="1">
        <w:r>
          <w:rPr>
            <w:rStyle w:val="1011"/>
            <w:lang w:eastAsia="zh-CN"/>
          </w:rPr>
          <w:t xml:space="preserve">5.7.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Работа с формуляром «Универсальный передаточный документ»</w:t>
        </w:r>
        <w:r>
          <w:tab/>
        </w:r>
        <w:r>
          <w:fldChar w:fldCharType="begin"/>
        </w:r>
        <w:r>
          <w:instrText xml:space="preserve"> PAGEREF _Toc62446069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0" w:anchor="_Toc62446070" w:history="1">
        <w:r>
          <w:rPr>
            <w:rStyle w:val="1011"/>
            <w:lang w:eastAsia="zh-CN"/>
          </w:rPr>
          <w:t xml:space="preserve">5.7.1.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Импорт УПД в ПУР</w:t>
        </w:r>
        <w:r>
          <w:tab/>
        </w:r>
        <w:r>
          <w:fldChar w:fldCharType="begin"/>
        </w:r>
        <w:r>
          <w:instrText xml:space="preserve"> PAGEREF _Toc62446070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1" w:anchor="_Toc62446071" w:history="1">
        <w:r>
          <w:rPr>
            <w:rStyle w:val="1011"/>
          </w:rPr>
          <w:t xml:space="preserve">5.7.2.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Дозаполнение УПД при импорте по старым форматам</w:t>
        </w:r>
        <w:r>
          <w:tab/>
        </w:r>
        <w:r>
          <w:fldChar w:fldCharType="begin"/>
        </w:r>
        <w:r>
          <w:instrText xml:space="preserve"> PAGEREF _Toc62446071 \h </w:instrText>
        </w:r>
        <w:r/>
        <w:r>
          <w:fldChar w:fldCharType="separate"/>
        </w:r>
        <w:r>
          <w:t xml:space="preserve">136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2" w:anchor="_Toc62446072" w:history="1">
        <w:r>
          <w:rPr>
            <w:rStyle w:val="1011"/>
          </w:rPr>
          <w:t xml:space="preserve">5.7.3.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</w:rPr>
          <w:t xml:space="preserve">Внесение изменений в ранее зарегистрированный УПД</w:t>
        </w:r>
        <w:r>
          <w:tab/>
        </w:r>
        <w:r>
          <w:fldChar w:fldCharType="begin"/>
        </w:r>
        <w:r>
          <w:instrText xml:space="preserve"> PAGEREF _Toc62446072 \h </w:instrText>
        </w:r>
        <w:r/>
        <w:r>
          <w:fldChar w:fldCharType="separate"/>
        </w:r>
        <w:r>
          <w:t xml:space="preserve">138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3" w:anchor="_Toc62446073" w:history="1">
        <w:r>
          <w:rPr>
            <w:rStyle w:val="1011"/>
            <w:lang w:eastAsia="zh-CN"/>
          </w:rPr>
          <w:t xml:space="preserve">5.7.4.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Отправка на согласование</w:t>
        </w:r>
        <w:r>
          <w:tab/>
        </w:r>
        <w:r>
          <w:fldChar w:fldCharType="begin"/>
        </w:r>
        <w:r>
          <w:instrText xml:space="preserve"> PAGEREF _Toc62446073 \h </w:instrText>
        </w:r>
        <w:r/>
        <w:r>
          <w:fldChar w:fldCharType="separate"/>
        </w:r>
        <w:r>
          <w:t xml:space="preserve">139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4" w:anchor="_Toc62446074" w:history="1">
        <w:r>
          <w:rPr>
            <w:rStyle w:val="1011"/>
            <w:lang w:eastAsia="zh-CN"/>
          </w:rPr>
          <w:t xml:space="preserve">5.7.5.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Согласование УПД</w:t>
        </w:r>
        <w:r>
          <w:tab/>
        </w:r>
        <w:r>
          <w:fldChar w:fldCharType="begin"/>
        </w:r>
        <w:r>
          <w:instrText xml:space="preserve"> PAGEREF _Toc62446074 \h </w:instrText>
        </w:r>
        <w:r/>
        <w:r>
          <w:fldChar w:fldCharType="separate"/>
        </w:r>
        <w:r>
          <w:t xml:space="preserve">139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5" w:anchor="_Toc62446075" w:history="1">
        <w:r>
          <w:rPr>
            <w:rStyle w:val="1011"/>
            <w:lang w:eastAsia="zh-CN"/>
          </w:rPr>
          <w:t xml:space="preserve">5.7.6.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Утверждение УПД</w:t>
        </w:r>
        <w:r>
          <w:tab/>
        </w:r>
        <w:r>
          <w:fldChar w:fldCharType="begin"/>
        </w:r>
        <w:r>
          <w:instrText xml:space="preserve"> PAGEREF _Toc62446075 \h </w:instrText>
        </w:r>
        <w:r/>
        <w:r>
          <w:fldChar w:fldCharType="separate"/>
        </w:r>
        <w:r>
          <w:t xml:space="preserve">139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6" w:anchor="_Toc62446076" w:history="1">
        <w:r>
          <w:rPr>
            <w:rStyle w:val="1011"/>
            <w:lang w:eastAsia="zh-CN"/>
          </w:rPr>
          <w:t xml:space="preserve">5.7.7.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Печать УПД</w:t>
        </w:r>
        <w:r>
          <w:tab/>
        </w:r>
        <w:r>
          <w:fldChar w:fldCharType="begin"/>
        </w:r>
        <w:r>
          <w:instrText xml:space="preserve"> PAGEREF _Toc62446076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77" w:anchor="_Toc62446077" w:history="1">
        <w:r>
          <w:rPr>
            <w:rStyle w:val="1011"/>
            <w:lang w:eastAsia="zh-CN"/>
          </w:rPr>
          <w:t xml:space="preserve">5.8.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Формуляр «Заявка на кассовый расход»</w:t>
        </w:r>
        <w:r>
          <w:tab/>
        </w:r>
        <w:r>
          <w:fldChar w:fldCharType="begin"/>
        </w:r>
        <w:r>
          <w:instrText xml:space="preserve"> PAGEREF _Toc62446077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8" w:anchor="_Toc62446078" w:history="1">
        <w:r>
          <w:rPr>
            <w:rStyle w:val="1011"/>
            <w:lang w:eastAsia="zh-CN"/>
          </w:rPr>
          <w:t xml:space="preserve">5.8.1.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Отправка на согласование экземпляра формуляра «Заявка на кассовый расход»</w:t>
        </w:r>
        <w:r>
          <w:tab/>
        </w:r>
        <w:r>
          <w:fldChar w:fldCharType="begin"/>
        </w:r>
        <w:r>
          <w:instrText xml:space="preserve"> PAGEREF _Toc62446078 \h </w:instrText>
        </w:r>
        <w:r/>
        <w:r>
          <w:fldChar w:fldCharType="separate"/>
        </w:r>
        <w:r>
          <w:t xml:space="preserve">140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79" w:anchor="_Toc62446079" w:history="1">
        <w:r>
          <w:rPr>
            <w:rStyle w:val="1011"/>
            <w:lang w:eastAsia="zh-CN"/>
          </w:rPr>
          <w:t xml:space="preserve">5.8.2.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Согласование экземпляра формуляра «Заявка на кассовый расход»</w:t>
        </w:r>
        <w:r>
          <w:tab/>
        </w:r>
        <w:r>
          <w:fldChar w:fldCharType="begin"/>
        </w:r>
        <w:r>
          <w:instrText xml:space="preserve"> PAGEREF _Toc62446079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/>
    </w:p>
    <w:p>
      <w:pPr>
        <w:pStyle w:val="1014"/>
        <w:rPr>
          <w:rFonts w:asciiTheme="minorHAnsi" w:hAnsiTheme="minorHAnsi" w:eastAsiaTheme="minorEastAsia" w:cstheme="minorBidi"/>
          <w:bCs w:val="0"/>
          <w:iCs w:val="0"/>
          <w:sz w:val="22"/>
          <w:szCs w:val="22"/>
        </w:rPr>
      </w:pPr>
      <w:r/>
      <w:hyperlink w:tooltip="#_Toc62446080" w:anchor="_Toc62446080" w:history="1">
        <w:r>
          <w:rPr>
            <w:rStyle w:val="1011"/>
            <w:lang w:eastAsia="zh-CN"/>
          </w:rPr>
          <w:t xml:space="preserve">5.8.3.</w:t>
        </w:r>
        <w:r>
          <w:rPr>
            <w:rFonts w:asciiTheme="minorHAnsi" w:hAnsiTheme="minorHAnsi" w:eastAsiaTheme="minorEastAsia" w:cstheme="minorBidi"/>
            <w:bCs w:val="0"/>
            <w:iCs w:val="0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Утверждение экземпляра формуляра «Заявка на кассовый расход»</w:t>
        </w:r>
        <w:r>
          <w:tab/>
        </w:r>
        <w:r>
          <w:fldChar w:fldCharType="begin"/>
        </w:r>
        <w:r>
          <w:instrText xml:space="preserve"> PAGEREF _Toc62446080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81" w:anchor="_Toc62446081" w:history="1">
        <w:r>
          <w:rPr>
            <w:rStyle w:val="1011"/>
          </w:rPr>
          <w:t xml:space="preserve">5.9.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Контроль сроков обработки документов</w:t>
        </w:r>
        <w:r>
          <w:tab/>
        </w:r>
        <w:r>
          <w:fldChar w:fldCharType="begin"/>
        </w:r>
        <w:r>
          <w:instrText xml:space="preserve"> PAGEREF _Toc62446081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82" w:anchor="_Toc62446082" w:history="1">
        <w:r>
          <w:rPr>
            <w:rStyle w:val="1011"/>
          </w:rPr>
          <w:t xml:space="preserve">5.10.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Просмотр электронной подписи документа</w:t>
        </w:r>
        <w:r>
          <w:tab/>
        </w:r>
        <w:r>
          <w:fldChar w:fldCharType="begin"/>
        </w:r>
        <w:r>
          <w:instrText xml:space="preserve"> PAGEREF _Toc62446082 \h </w:instrText>
        </w:r>
        <w:r/>
        <w:r>
          <w:fldChar w:fldCharType="separate"/>
        </w:r>
        <w:r>
          <w:t xml:space="preserve">141</w:t>
        </w:r>
        <w:r>
          <w:fldChar w:fldCharType="end"/>
        </w:r>
      </w:hyperlink>
      <w:r/>
      <w:r/>
    </w:p>
    <w:p>
      <w:pPr>
        <w:pStyle w:val="1013"/>
        <w:rPr>
          <w:rFonts w:asciiTheme="minorHAnsi" w:hAnsiTheme="minorHAnsi" w:eastAsiaTheme="minorEastAsia" w:cstheme="minorBidi"/>
          <w:bCs w:val="0"/>
          <w:sz w:val="22"/>
          <w:szCs w:val="22"/>
        </w:rPr>
      </w:pPr>
      <w:r/>
      <w:hyperlink w:tooltip="#_Toc62446083" w:anchor="_Toc62446083" w:history="1">
        <w:r>
          <w:rPr>
            <w:rStyle w:val="1011"/>
          </w:rPr>
          <w:t xml:space="preserve">5.11.</w:t>
        </w:r>
        <w:r>
          <w:rPr>
            <w:rFonts w:asciiTheme="minorHAnsi" w:hAnsiTheme="minorHAnsi" w:eastAsiaTheme="minorEastAsia" w:cstheme="minorBidi"/>
            <w:bCs w:val="0"/>
            <w:sz w:val="22"/>
            <w:szCs w:val="22"/>
          </w:rPr>
          <w:tab/>
        </w:r>
        <w:r>
          <w:rPr>
            <w:rStyle w:val="1011"/>
          </w:rPr>
          <w:t xml:space="preserve">Описание функциональности для обмена пользовательскими информационными сообщениями</w:t>
        </w:r>
        <w:r>
          <w:tab/>
        </w:r>
        <w:r>
          <w:fldChar w:fldCharType="begin"/>
        </w:r>
        <w:r>
          <w:instrText xml:space="preserve"> PAGEREF _Toc62446083 \h </w:instrText>
        </w:r>
        <w:r/>
        <w:r>
          <w:fldChar w:fldCharType="separate"/>
        </w:r>
        <w:r>
          <w:t xml:space="preserve">142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84" w:anchor="_Toc62446084" w:history="1">
        <w:r>
          <w:rPr>
            <w:rStyle w:val="1011"/>
            <w:rFonts w:ascii="Times New Roman Полужирный" w:hAnsi="Times New Roman Полужирный"/>
          </w:rPr>
          <w:t xml:space="preserve">6.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011"/>
            <w:rFonts w:ascii="Times New Roman Полужирный" w:hAnsi="Times New Roman Полужирный"/>
          </w:rPr>
          <w:t xml:space="preserve">Описание действий работника в случае аварийных ситуаций</w:t>
        </w:r>
        <w:r>
          <w:tab/>
        </w:r>
        <w:r>
          <w:fldChar w:fldCharType="begin"/>
        </w:r>
        <w:r>
          <w:instrText xml:space="preserve"> PAGEREF _Toc62446084 \h </w:instrText>
        </w:r>
        <w:r/>
        <w:r>
          <w:fldChar w:fldCharType="separate"/>
        </w:r>
        <w:r>
          <w:t xml:space="preserve">143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85" w:anchor="_Toc62446085" w:history="1">
        <w:r>
          <w:rPr>
            <w:rStyle w:val="1011"/>
          </w:rPr>
          <w:t xml:space="preserve">СОСТАВИЛИ</w:t>
        </w:r>
        <w:r>
          <w:tab/>
        </w:r>
        <w:r>
          <w:fldChar w:fldCharType="begin"/>
        </w:r>
        <w:r>
          <w:instrText xml:space="preserve"> PAGEREF _Toc62446085 \h </w:instrText>
        </w:r>
        <w:r/>
        <w:r>
          <w:fldChar w:fldCharType="separate"/>
        </w:r>
        <w:r>
          <w:t xml:space="preserve">146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86" w:anchor="_Toc62446086" w:history="1">
        <w:r>
          <w:rPr>
            <w:rStyle w:val="1011"/>
          </w:rPr>
          <w:t xml:space="preserve">СОГЛАСОВАНО</w:t>
        </w:r>
        <w:r>
          <w:tab/>
        </w:r>
        <w:r>
          <w:fldChar w:fldCharType="begin"/>
        </w:r>
        <w:r>
          <w:instrText xml:space="preserve"> PAGEREF _Toc62446086 \h </w:instrText>
        </w:r>
        <w:r/>
        <w:r>
          <w:fldChar w:fldCharType="separate"/>
        </w:r>
        <w:r>
          <w:t xml:space="preserve">147</w:t>
        </w:r>
        <w:r>
          <w:fldChar w:fldCharType="end"/>
        </w:r>
      </w:hyperlink>
      <w:r/>
      <w:r/>
    </w:p>
    <w:p>
      <w:pPr>
        <w:pStyle w:val="1012"/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62446087" w:anchor="_Toc62446087" w:history="1">
        <w:r>
          <w:rPr>
            <w:rStyle w:val="1011"/>
          </w:rPr>
          <w:t xml:space="preserve">ЛИСТ РЕГИСТРАЦИИ ИЗМЕНЕНИЙ</w:t>
        </w:r>
        <w:r>
          <w:tab/>
        </w:r>
        <w:r>
          <w:fldChar w:fldCharType="begin"/>
        </w:r>
        <w:r>
          <w:instrText xml:space="preserve"> PAGEREF _Toc62446087 \h </w:instrText>
        </w:r>
        <w:r/>
        <w:r>
          <w:fldChar w:fldCharType="separate"/>
        </w:r>
        <w:r>
          <w:t xml:space="preserve">148</w:t>
        </w:r>
        <w:r>
          <w:fldChar w:fldCharType="end"/>
        </w:r>
      </w:hyperlink>
      <w:r/>
      <w:r/>
    </w:p>
    <w:p>
      <w:r>
        <w:rPr>
          <w:b/>
          <w:bCs/>
        </w:rPr>
        <w:fldChar w:fldCharType="end"/>
      </w:r>
      <w:r/>
    </w:p>
    <w:p>
      <w:pPr>
        <w:pStyle w:val="989"/>
      </w:pPr>
      <w:r/>
      <w:bookmarkStart w:id="6" w:name="_Toc6502673"/>
      <w:r/>
      <w:bookmarkStart w:id="7" w:name="_Toc62446023"/>
      <w:r>
        <w:t xml:space="preserve">Перечень таблиц</w:t>
      </w:r>
      <w:bookmarkEnd w:id="6"/>
      <w:r/>
      <w:bookmarkEnd w:id="7"/>
      <w:r>
        <w:fldChar w:fldCharType="begin"/>
      </w:r>
      <w:r>
        <w:instrText xml:space="preserve"> TOC \h \z \t "_GOST_Name_Table" \c "Таблица" </w:instrText>
      </w:r>
      <w:r>
        <w:fldChar w:fldCharType="separate"/>
      </w:r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47" w:anchor="_Toc59804447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1. Перечень терминов и сокращений</w:t>
        </w:r>
        <w:r>
          <w:tab/>
        </w:r>
        <w:r>
          <w:fldChar w:fldCharType="begin"/>
        </w:r>
        <w:r>
          <w:instrText xml:space="preserve"> PAGEREF _Toc59804447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48" w:anchor="_Toc59804448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2. Полномочия и коды ролей доступа</w:t>
        </w:r>
        <w:r>
          <w:tab/>
        </w:r>
        <w:r>
          <w:fldChar w:fldCharType="begin"/>
        </w:r>
        <w:r>
          <w:instrText xml:space="preserve"> PAGEREF _Toc59804448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49" w:anchor="_Toc59804449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3. Описание фонарной группы «Отражение на ЛС в ЭБ» списковой формы формуляра «Сведения о денежном обязательстве»</w:t>
        </w:r>
        <w:r>
          <w:tab/>
        </w:r>
        <w:r>
          <w:fldChar w:fldCharType="begin"/>
        </w:r>
        <w:r>
          <w:instrText xml:space="preserve"> PAGEREF _Toc59804449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0" w:anchor="_Toc59804450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4. Фильтр-папки документа «Сведения о ДО»</w:t>
        </w:r>
        <w:r>
          <w:tab/>
        </w:r>
        <w:r>
          <w:fldChar w:fldCharType="begin"/>
        </w:r>
        <w:r>
          <w:instrText xml:space="preserve"> PAGEREF _Toc59804450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1" w:anchor="_Toc59804451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5. Описание функциональных кнопок</w:t>
        </w:r>
        <w:r>
          <w:tab/>
        </w:r>
        <w:r>
          <w:fldChar w:fldCharType="begin"/>
        </w:r>
        <w:r>
          <w:instrText xml:space="preserve"> PAGEREF _Toc59804451 \h </w:instrText>
        </w:r>
        <w:r/>
        <w:r>
          <w:fldChar w:fldCharType="separate"/>
        </w:r>
        <w:r>
          <w:t xml:space="preserve">43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2" w:anchor="_Toc59804452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6. Описание полей формуляра «Шаблон листа согласования»</w:t>
        </w:r>
        <w:r>
          <w:tab/>
        </w:r>
        <w:r>
          <w:fldChar w:fldCharType="begin"/>
        </w:r>
        <w:r>
          <w:instrText xml:space="preserve"> PAGEREF _Toc59804452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3" w:anchor="_Toc59804453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7. Описание реквизитов вкладки «Расшифровка суммы обязательства»</w:t>
        </w:r>
        <w:r>
          <w:tab/>
        </w:r>
        <w:r>
          <w:fldChar w:fldCharType="begin"/>
        </w:r>
        <w:r>
          <w:instrText xml:space="preserve"> PAGEREF _Toc59804453 \h </w:instrText>
        </w:r>
        <w:r/>
        <w:r>
          <w:fldChar w:fldCharType="separate"/>
        </w:r>
        <w:r>
          <w:t xml:space="preserve">112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4" w:anchor="_Toc59804454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8. Описание реквизитов вкладки «Документы-основания»</w:t>
        </w:r>
        <w:r>
          <w:tab/>
        </w:r>
        <w:r>
          <w:fldChar w:fldCharType="begin"/>
        </w:r>
        <w:r>
          <w:instrText xml:space="preserve"> PAGEREF _Toc59804454 \h </w:instrText>
        </w:r>
        <w:r/>
        <w:r>
          <w:fldChar w:fldCharType="separate"/>
        </w:r>
        <w:r>
          <w:t xml:space="preserve">113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5" w:anchor="_Toc59804455" w:history="1">
        <w:r>
          <w:rPr>
            <w:rStyle w:val="1011"/>
          </w:rPr>
          <w:t xml:space="preserve">Таблица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9. Описание полей документа «Сведения о ДО», вкладки «Лист согласования»</w:t>
        </w:r>
        <w:r>
          <w:tab/>
        </w:r>
        <w:r>
          <w:fldChar w:fldCharType="begin"/>
        </w:r>
        <w:r>
          <w:instrText xml:space="preserve"> PAGEREF _Toc59804455 \h </w:instrText>
        </w:r>
        <w:r/>
        <w:r>
          <w:fldChar w:fldCharType="separate"/>
        </w:r>
        <w:r>
          <w:t xml:space="preserve">116</w:t>
        </w:r>
        <w:r>
          <w:fldChar w:fldCharType="end"/>
        </w:r>
      </w:hyperlink>
      <w:r/>
      <w:r/>
    </w:p>
    <w:p>
      <w:pPr>
        <w:pStyle w:val="989"/>
      </w:pPr>
      <w:r>
        <w:fldChar w:fldCharType="end"/>
      </w:r>
      <w:bookmarkStart w:id="8" w:name="_Toc6502674"/>
      <w:r/>
      <w:bookmarkStart w:id="9" w:name="_Toc6485092"/>
      <w:r/>
      <w:bookmarkStart w:id="10" w:name="_Toc6482091"/>
      <w:r/>
      <w:bookmarkStart w:id="11" w:name="_Toc536613939"/>
      <w:r/>
      <w:bookmarkStart w:id="12" w:name="_Toc526882201"/>
      <w:r/>
      <w:bookmarkStart w:id="13" w:name="_Toc62446024"/>
      <w:r>
        <w:t xml:space="preserve">Перечень рисунков</w:t>
      </w:r>
      <w:bookmarkEnd w:id="8"/>
      <w:r/>
      <w:bookmarkEnd w:id="9"/>
      <w:r/>
      <w:bookmarkEnd w:id="10"/>
      <w:r/>
      <w:bookmarkEnd w:id="11"/>
      <w:r/>
      <w:bookmarkEnd w:id="12"/>
      <w:r/>
      <w:bookmarkEnd w:id="13"/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tooltip="#_Toc59804456" w:anchor="_Toc5980445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1. Страница авторизации</w:t>
        </w:r>
        <w:r>
          <w:tab/>
        </w:r>
        <w:r>
          <w:fldChar w:fldCharType="begin"/>
        </w:r>
        <w:r>
          <w:instrText xml:space="preserve"> PAGEREF _Toc59804456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7" w:anchor="_Toc5980445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2. Главная страница веб-портала</w:t>
        </w:r>
        <w:r>
          <w:tab/>
        </w:r>
        <w:r>
          <w:fldChar w:fldCharType="begin"/>
        </w:r>
        <w:r>
          <w:instrText xml:space="preserve"> PAGEREF _Toc59804457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8" w:anchor="_Toc5980445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3. Раздел «Меню». Вкладка «Формуляры»</w:t>
        </w:r>
        <w:r>
          <w:tab/>
        </w:r>
        <w:r>
          <w:fldChar w:fldCharType="begin"/>
        </w:r>
        <w:r>
          <w:instrText xml:space="preserve"> PAGEREF _Toc59804458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59" w:anchor="_Toc5980445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4. Переход к списковой форме документов</w:t>
        </w:r>
        <w:r>
          <w:tab/>
        </w:r>
        <w:r>
          <w:fldChar w:fldCharType="begin"/>
        </w:r>
        <w:r>
          <w:instrText xml:space="preserve"> PAGEREF _Toc59804459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0" w:anchor="_Toc5980446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5. Переход к аналитическому инструменту для формирования отчетов</w:t>
        </w:r>
        <w:r>
          <w:tab/>
        </w:r>
        <w:r>
          <w:fldChar w:fldCharType="begin"/>
        </w:r>
        <w:r>
          <w:instrText xml:space="preserve"> PAGEREF _Toc59804460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1" w:anchor="_Toc5980446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6. Списковая форма документов «Сведения о ДО»</w:t>
        </w:r>
        <w:r>
          <w:tab/>
        </w:r>
        <w:r>
          <w:fldChar w:fldCharType="begin"/>
        </w:r>
        <w:r>
          <w:instrText xml:space="preserve"> PAGEREF _Toc59804461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2" w:anchor="_Toc5980446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7. Меню действий с колонками</w:t>
        </w:r>
        <w:r>
          <w:tab/>
        </w:r>
        <w:r>
          <w:fldChar w:fldCharType="begin"/>
        </w:r>
        <w:r>
          <w:instrText xml:space="preserve"> PAGEREF _Toc59804462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3" w:anchor="_Toc5980446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8. Окно «Выбор колонок» для выбора колонок СФ «Сведения о ДО»</w:t>
        </w:r>
        <w:r>
          <w:tab/>
        </w:r>
        <w:r>
          <w:fldChar w:fldCharType="begin"/>
        </w:r>
        <w:r>
          <w:instrText xml:space="preserve"> PAGEREF _Toc59804463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4" w:anchor="_Toc5980446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9. Визуальная форма экземпляра формуляра «Шаблон листа согласования»</w:t>
        </w:r>
        <w:r>
          <w:tab/>
        </w:r>
        <w:r>
          <w:fldChar w:fldCharType="begin"/>
        </w:r>
        <w:r>
          <w:instrText xml:space="preserve"> PAGEREF _Toc59804464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5" w:anchor="_Toc5980446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  <w:lang w:val="en-US"/>
          </w:rPr>
          <w:t xml:space="preserve">10</w:t>
        </w:r>
        <w:r>
          <w:rPr>
            <w:rStyle w:val="1011"/>
          </w:rPr>
          <w:t xml:space="preserve">. Пункт меню «Справочники»</w:t>
        </w:r>
        <w:r>
          <w:tab/>
        </w:r>
        <w:r>
          <w:fldChar w:fldCharType="begin"/>
        </w:r>
        <w:r>
          <w:instrText xml:space="preserve"> PAGEREF _Toc59804465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6" w:anchor="_Toc5980446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11. Структуры документов для учета</w:t>
        </w:r>
        <w:r>
          <w:tab/>
        </w:r>
        <w:r>
          <w:fldChar w:fldCharType="begin"/>
        </w:r>
        <w:r>
          <w:instrText xml:space="preserve"> PAGEREF _Toc59804466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7" w:anchor="_Toc5980446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12. Настройка запросов к ПУиО</w:t>
        </w:r>
        <w:r>
          <w:tab/>
        </w:r>
        <w:r>
          <w:fldChar w:fldCharType="begin"/>
        </w:r>
        <w:r>
          <w:instrText xml:space="preserve"> PAGEREF _Toc59804467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8" w:anchor="_Toc5980446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13. Перечень показателей состояния лицевого счета</w:t>
        </w:r>
        <w:r>
          <w:tab/>
        </w:r>
        <w:r>
          <w:fldChar w:fldCharType="begin"/>
        </w:r>
        <w:r>
          <w:instrText xml:space="preserve"> PAGEREF _Toc59804468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69" w:anchor="_Toc5980446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14. Показатели состояния лицевого счета</w:t>
        </w:r>
        <w:r>
          <w:tab/>
        </w:r>
        <w:r>
          <w:fldChar w:fldCharType="begin"/>
        </w:r>
        <w:r>
          <w:instrText xml:space="preserve"> PAGEREF _Toc59804469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0" w:anchor="_Toc5980447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15. Таблица соответствия КБК</w:t>
        </w:r>
        <w:r>
          <w:tab/>
        </w:r>
        <w:r>
          <w:fldChar w:fldCharType="begin"/>
        </w:r>
        <w:r>
          <w:instrText xml:space="preserve"> PAGEREF _Toc59804470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1" w:anchor="_Toc5980447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16. ГРБС, необслуживающиеся в ЭБ</w:t>
        </w:r>
        <w:r>
          <w:tab/>
        </w:r>
        <w:r>
          <w:fldChar w:fldCharType="begin"/>
        </w:r>
        <w:r>
          <w:instrText xml:space="preserve"> PAGEREF _Toc59804471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2" w:anchor="_Toc5980447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17. Виды НПА (Законодательные и иные правовые акты, определяющие расходные обязательства РФ)</w:t>
        </w:r>
        <w:r>
          <w:tab/>
        </w:r>
        <w:r>
          <w:fldChar w:fldCharType="begin"/>
        </w:r>
        <w:r>
          <w:instrText xml:space="preserve"> PAGEREF _Toc59804472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3" w:anchor="_Toc5980447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18. Федеральные адресные инвестиционные программы (ФАИП)</w:t>
        </w:r>
        <w:r>
          <w:tab/>
        </w:r>
        <w:r>
          <w:fldChar w:fldCharType="begin"/>
        </w:r>
        <w:r>
          <w:instrText xml:space="preserve"> PAGEREF _Toc59804473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4" w:anchor="_Toc5980447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19. Коды глав (ведомств)</w:t>
        </w:r>
        <w:r>
          <w:tab/>
        </w:r>
        <w:r>
          <w:fldChar w:fldCharType="begin"/>
        </w:r>
        <w:r>
          <w:instrText xml:space="preserve"> PAGEREF _Toc59804474 \h </w:instrText>
        </w:r>
        <w:r/>
        <w:r>
          <w:fldChar w:fldCharType="separate"/>
        </w:r>
        <w:r>
          <w:t xml:space="preserve">59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5" w:anchor="_Toc5980447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20. Коды видов расходов</w:t>
        </w:r>
        <w:r>
          <w:tab/>
        </w:r>
        <w:r>
          <w:fldChar w:fldCharType="begin"/>
        </w:r>
        <w:r>
          <w:instrText xml:space="preserve"> PAGEREF _Toc59804475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6" w:anchor="_Toc5980447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21. Коды по ФКР</w:t>
        </w:r>
        <w:r>
          <w:tab/>
        </w:r>
        <w:r>
          <w:fldChar w:fldCharType="begin"/>
        </w:r>
        <w:r>
          <w:instrText xml:space="preserve"> PAGEREF _Toc59804476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7" w:anchor="_Toc5980447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22. Коды целей</w:t>
        </w:r>
        <w:r>
          <w:tab/>
        </w:r>
        <w:r>
          <w:fldChar w:fldCharType="begin"/>
        </w:r>
        <w:r>
          <w:instrText xml:space="preserve"> PAGEREF _Toc59804477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8" w:anchor="_Toc5980447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23. Коды по КЦСР</w:t>
        </w:r>
        <w:r>
          <w:tab/>
        </w:r>
        <w:r>
          <w:fldChar w:fldCharType="begin"/>
        </w:r>
        <w:r>
          <w:instrText xml:space="preserve"> PAGEREF _Toc59804478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79" w:anchor="_Toc5980447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24. Коды бюджетной классификации (КБК)</w:t>
        </w:r>
        <w:r>
          <w:tab/>
        </w:r>
        <w:r>
          <w:fldChar w:fldCharType="begin"/>
        </w:r>
        <w:r>
          <w:instrText xml:space="preserve"> PAGEREF _Toc59804479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0" w:anchor="_Toc5980448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25. Коды бюджетной классификации Расходы (КБК)</w:t>
        </w:r>
        <w:r>
          <w:tab/>
        </w:r>
        <w:r>
          <w:fldChar w:fldCharType="begin"/>
        </w:r>
        <w:r>
          <w:instrText xml:space="preserve"> PAGEREF _Toc59804480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1" w:anchor="_Toc5980448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26. Единый государственный реестр юридических лиц (ЕГРЮЛ)</w:t>
        </w:r>
        <w:r>
          <w:tab/>
        </w:r>
        <w:r>
          <w:fldChar w:fldCharType="begin"/>
        </w:r>
        <w:r>
          <w:instrText xml:space="preserve"> PAGEREF _Toc59804481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2" w:anchor="_Toc5980448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27. Сводный реестр</w:t>
        </w:r>
        <w:r>
          <w:tab/>
        </w:r>
        <w:r>
          <w:fldChar w:fldCharType="begin"/>
        </w:r>
        <w:r>
          <w:instrText xml:space="preserve"> PAGEREF _Toc59804482 \h </w:instrText>
        </w:r>
        <w:r/>
        <w:r>
          <w:fldChar w:fldCharType="separate"/>
        </w:r>
        <w:r>
          <w:t xml:space="preserve">67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3" w:anchor="_Toc5980448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28. Лицевые счета</w:t>
        </w:r>
        <w:r>
          <w:tab/>
        </w:r>
        <w:r>
          <w:fldChar w:fldCharType="begin"/>
        </w:r>
        <w:r>
          <w:instrText xml:space="preserve"> PAGEREF _Toc59804483 \h </w:instrText>
        </w:r>
        <w:r/>
        <w:r>
          <w:fldChar w:fldCharType="separate"/>
        </w:r>
        <w:r>
          <w:t xml:space="preserve">68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4" w:anchor="_Toc5980448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29. ТОФК</w:t>
        </w:r>
        <w:r>
          <w:tab/>
        </w:r>
        <w:r>
          <w:fldChar w:fldCharType="begin"/>
        </w:r>
        <w:r>
          <w:instrText xml:space="preserve"> PAGEREF _Toc59804484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5" w:anchor="_Toc5980448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30. Бюджеты</w:t>
        </w:r>
        <w:r>
          <w:tab/>
        </w:r>
        <w:r>
          <w:fldChar w:fldCharType="begin"/>
        </w:r>
        <w:r>
          <w:instrText xml:space="preserve"> PAGEREF _Toc59804485 \h </w:instrText>
        </w:r>
        <w:r/>
        <w:r>
          <w:fldChar w:fldCharType="separate"/>
        </w:r>
        <w:r>
          <w:t xml:space="preserve">71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6" w:anchor="_Toc5980448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31. Таблица соответствия кодов ОКАТО кодам ОКТМО</w:t>
        </w:r>
        <w:r>
          <w:tab/>
        </w:r>
        <w:r>
          <w:fldChar w:fldCharType="begin"/>
        </w:r>
        <w:r>
          <w:instrText xml:space="preserve"> PAGEREF _Toc59804486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7" w:anchor="_Toc5980448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32. Таблица соответствия Видов Типам</w:t>
        </w:r>
        <w:r>
          <w:tab/>
        </w:r>
        <w:r>
          <w:fldChar w:fldCharType="begin"/>
        </w:r>
        <w:r>
          <w:instrText xml:space="preserve"> PAGEREF _Toc59804487 \h </w:instrText>
        </w:r>
        <w:r/>
        <w:r>
          <w:fldChar w:fldCharType="separate"/>
        </w:r>
        <w:r>
          <w:t xml:space="preserve">73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8" w:anchor="_Toc5980448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33. Виды соглашений МФ</w:t>
        </w:r>
        <w:r>
          <w:tab/>
        </w:r>
        <w:r>
          <w:fldChar w:fldCharType="begin"/>
        </w:r>
        <w:r>
          <w:instrText xml:space="preserve"> PAGEREF _Toc59804488 \h </w:instrText>
        </w:r>
        <w:r/>
        <w:r>
          <w:fldChar w:fldCharType="separate"/>
        </w:r>
        <w:r>
          <w:t xml:space="preserve">74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89" w:anchor="_Toc5980448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34. Группировка показателей ЛС</w:t>
        </w:r>
        <w:r>
          <w:tab/>
        </w:r>
        <w:r>
          <w:fldChar w:fldCharType="begin"/>
        </w:r>
        <w:r>
          <w:instrText xml:space="preserve"> PAGEREF _Toc59804489 \h </w:instrText>
        </w:r>
        <w:r/>
        <w:r>
          <w:fldChar w:fldCharType="separate"/>
        </w:r>
        <w:r>
          <w:t xml:space="preserve">75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0" w:anchor="_Toc5980449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35. КБК Виды источников 2.0</w:t>
        </w:r>
        <w:r>
          <w:tab/>
        </w:r>
        <w:r>
          <w:fldChar w:fldCharType="begin"/>
        </w:r>
        <w:r>
          <w:instrText xml:space="preserve"> PAGEREF _Toc59804490 \h </w:instrText>
        </w:r>
        <w:r/>
        <w:r>
          <w:fldChar w:fldCharType="separate"/>
        </w:r>
        <w:r>
          <w:t xml:space="preserve">76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1" w:anchor="_Toc5980449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36. Общероссийский классификатор территорий муниципальных образований (ОКТМО)</w:t>
        </w:r>
        <w:r>
          <w:tab/>
        </w:r>
        <w:r>
          <w:fldChar w:fldCharType="begin"/>
        </w:r>
        <w:r>
          <w:instrText xml:space="preserve"> PAGEREF _Toc59804491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2" w:anchor="_Toc5980449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37. Общероссийский классификатор стран мира (ОКСМ)</w:t>
        </w:r>
        <w:r>
          <w:tab/>
        </w:r>
        <w:r>
          <w:fldChar w:fldCharType="begin"/>
        </w:r>
        <w:r>
          <w:instrText xml:space="preserve"> PAGEREF _Toc59804492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3" w:anchor="_Toc5980449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38. Общероссийский классификатор единиц измерения (ОКЕИ)</w:t>
        </w:r>
        <w:r>
          <w:tab/>
        </w:r>
        <w:r>
          <w:fldChar w:fldCharType="begin"/>
        </w:r>
        <w:r>
          <w:instrText xml:space="preserve"> PAGEREF _Toc59804493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4" w:anchor="_Toc5980449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39. Общероссийский классификатор валют (ОКВ)</w:t>
        </w:r>
        <w:r>
          <w:tab/>
        </w:r>
        <w:r>
          <w:fldChar w:fldCharType="begin"/>
        </w:r>
        <w:r>
          <w:instrText xml:space="preserve"> PAGEREF _Toc59804494 \h </w:instrText>
        </w:r>
        <w:r/>
        <w:r>
          <w:fldChar w:fldCharType="separate"/>
        </w:r>
        <w:r>
          <w:t xml:space="preserve">79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5" w:anchor="_Toc5980449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40. Типы документов</w:t>
        </w:r>
        <w:r>
          <w:tab/>
        </w:r>
        <w:r>
          <w:fldChar w:fldCharType="begin"/>
        </w:r>
        <w:r>
          <w:instrText xml:space="preserve"> PAGEREF _Toc59804495 \h </w:instrText>
        </w:r>
        <w:r/>
        <w:r>
          <w:fldChar w:fldCharType="separate"/>
        </w:r>
        <w:r>
          <w:t xml:space="preserve">80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6" w:anchor="_Toc5980449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41. Типы контролей</w:t>
        </w:r>
        <w:r>
          <w:tab/>
        </w:r>
        <w:r>
          <w:fldChar w:fldCharType="begin"/>
        </w:r>
        <w:r>
          <w:instrText xml:space="preserve"> PAGEREF _Toc59804496 \h </w:instrText>
        </w:r>
        <w:r/>
        <w:r>
          <w:fldChar w:fldCharType="separate"/>
        </w:r>
        <w:r>
          <w:t xml:space="preserve">81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7" w:anchor="_Toc5980449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42. Сферы бюджетного планирования</w:t>
        </w:r>
        <w:r>
          <w:tab/>
        </w:r>
        <w:r>
          <w:fldChar w:fldCharType="begin"/>
        </w:r>
        <w:r>
          <w:instrText xml:space="preserve"> PAGEREF _Toc59804497 \h </w:instrText>
        </w:r>
        <w:r/>
        <w:r>
          <w:fldChar w:fldCharType="separate"/>
        </w:r>
        <w:r>
          <w:t xml:space="preserve">82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8" w:anchor="_Toc5980449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43. Департаменты МФ РФ</w:t>
        </w:r>
        <w:r>
          <w:tab/>
        </w:r>
        <w:r>
          <w:fldChar w:fldCharType="begin"/>
        </w:r>
        <w:r>
          <w:instrText xml:space="preserve"> PAGEREF _Toc59804498 \h </w:instrText>
        </w:r>
        <w:r/>
        <w:r>
          <w:fldChar w:fldCharType="separate"/>
        </w:r>
        <w:r>
          <w:t xml:space="preserve">83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499" w:anchor="_Toc5980449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44. Виды специальных указаний</w:t>
        </w:r>
        <w:r>
          <w:tab/>
        </w:r>
        <w:r>
          <w:fldChar w:fldCharType="begin"/>
        </w:r>
        <w:r>
          <w:instrText xml:space="preserve"> PAGEREF _Toc59804499 \h </w:instrText>
        </w:r>
        <w:r/>
        <w:r>
          <w:fldChar w:fldCharType="separate"/>
        </w:r>
        <w:r>
          <w:t xml:space="preserve">84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0" w:anchor="_Toc5980450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45. БА, ЛБО за счет лицевых иностранных кредитов и перечень ПНО</w:t>
        </w:r>
        <w:r>
          <w:tab/>
        </w:r>
        <w:r>
          <w:fldChar w:fldCharType="begin"/>
        </w:r>
        <w:r>
          <w:instrText xml:space="preserve"> PAGEREF _Toc59804500 \h </w:instrText>
        </w:r>
        <w:r/>
        <w:r>
          <w:fldChar w:fldCharType="separate"/>
        </w:r>
        <w:r>
          <w:t xml:space="preserve">85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1" w:anchor="_Toc5980450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46. Виды дополнительной информации для внесения в роспись</w:t>
        </w:r>
        <w:r>
          <w:tab/>
        </w:r>
        <w:r>
          <w:fldChar w:fldCharType="begin"/>
        </w:r>
        <w:r>
          <w:instrText xml:space="preserve"> PAGEREF _Toc59804501 \h </w:instrText>
        </w:r>
        <w:r/>
        <w:r>
          <w:fldChar w:fldCharType="separate"/>
        </w:r>
        <w:r>
          <w:t xml:space="preserve">86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2" w:anchor="_Toc5980450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47. Виды изменений СБР</w:t>
        </w:r>
        <w:r>
          <w:tab/>
        </w:r>
        <w:r>
          <w:fldChar w:fldCharType="begin"/>
        </w:r>
        <w:r>
          <w:instrText xml:space="preserve"> PAGEREF _Toc59804502 \h </w:instrText>
        </w:r>
        <w:r/>
        <w:r>
          <w:fldChar w:fldCharType="separate"/>
        </w:r>
        <w:r>
          <w:t xml:space="preserve">87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3" w:anchor="_Toc5980450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48. Виды оснований для внесения изменений в Роспись (По вопросу)</w:t>
        </w:r>
        <w:r>
          <w:tab/>
        </w:r>
        <w:r>
          <w:fldChar w:fldCharType="begin"/>
        </w:r>
        <w:r>
          <w:instrText xml:space="preserve"> PAGEREF _Toc59804503 \h </w:instrText>
        </w:r>
        <w:r/>
        <w:r>
          <w:fldChar w:fldCharType="separate"/>
        </w:r>
        <w:r>
          <w:t xml:space="preserve">88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4" w:anchor="_Toc5980450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49. Аналитические коды</w:t>
        </w:r>
        <w:r>
          <w:tab/>
        </w:r>
        <w:r>
          <w:fldChar w:fldCharType="begin"/>
        </w:r>
        <w:r>
          <w:instrText xml:space="preserve"> PAGEREF _Toc59804504 \h </w:instrText>
        </w:r>
        <w:r/>
        <w:r>
          <w:fldChar w:fldCharType="separate"/>
        </w:r>
        <w:r>
          <w:t xml:space="preserve">89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5" w:anchor="_Toc5980450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50. Количество лет бюджетного планирования</w:t>
        </w:r>
        <w:r>
          <w:tab/>
        </w:r>
        <w:r>
          <w:fldChar w:fldCharType="begin"/>
        </w:r>
        <w:r>
          <w:instrText xml:space="preserve"> PAGEREF _Toc59804505 \h </w:instrText>
        </w:r>
        <w:r/>
        <w:r>
          <w:fldChar w:fldCharType="separate"/>
        </w:r>
        <w:r>
          <w:t xml:space="preserve">90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6" w:anchor="_Toc5980450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51. Иерархия КБК</w:t>
        </w:r>
        <w:r>
          <w:tab/>
        </w:r>
        <w:r>
          <w:fldChar w:fldCharType="begin"/>
        </w:r>
        <w:r>
          <w:instrText xml:space="preserve"> PAGEREF _Toc59804506 \h </w:instrText>
        </w:r>
        <w:r/>
        <w:r>
          <w:fldChar w:fldCharType="separate"/>
        </w:r>
        <w:r>
          <w:t xml:space="preserve">91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7" w:anchor="_Toc5980450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52. Перечень кодов мероприятий по информатизации</w:t>
        </w:r>
        <w:r>
          <w:tab/>
        </w:r>
        <w:r>
          <w:fldChar w:fldCharType="begin"/>
        </w:r>
        <w:r>
          <w:instrText xml:space="preserve"> PAGEREF _Toc59804507 \h </w:instrText>
        </w:r>
        <w:r/>
        <w:r>
          <w:fldChar w:fldCharType="separate"/>
        </w:r>
        <w:r>
          <w:t xml:space="preserve">92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8" w:anchor="_Toc5980450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53. Взаимодействие с внешними системами</w:t>
        </w:r>
        <w:r>
          <w:tab/>
        </w:r>
        <w:r>
          <w:fldChar w:fldCharType="begin"/>
        </w:r>
        <w:r>
          <w:instrText xml:space="preserve"> PAGEREF _Toc59804508 \h </w:instrText>
        </w:r>
        <w:r/>
        <w:r>
          <w:fldChar w:fldCharType="separate"/>
        </w:r>
        <w:r>
          <w:t xml:space="preserve">93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09" w:anchor="_Toc5980450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54. Период действия ПОФР</w:t>
        </w:r>
        <w:r>
          <w:tab/>
        </w:r>
        <w:r>
          <w:fldChar w:fldCharType="begin"/>
        </w:r>
        <w:r>
          <w:instrText xml:space="preserve"> PAGEREF _Toc59804509 \h </w:instrText>
        </w:r>
        <w:r/>
        <w:r>
          <w:fldChar w:fldCharType="separate"/>
        </w:r>
        <w:r>
          <w:t xml:space="preserve">94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0" w:anchor="_Toc5980451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55. КБК Источники</w:t>
        </w:r>
        <w:r>
          <w:tab/>
        </w:r>
        <w:r>
          <w:fldChar w:fldCharType="begin"/>
        </w:r>
        <w:r>
          <w:instrText xml:space="preserve"> PAGEREF _Toc59804510 \h </w:instrText>
        </w:r>
        <w:r/>
        <w:r>
          <w:fldChar w:fldCharType="separate"/>
        </w:r>
        <w:r>
          <w:t xml:space="preserve">95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1" w:anchor="_Toc5980451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56. Контрольные сроки обработки документов</w:t>
        </w:r>
        <w:r>
          <w:tab/>
        </w:r>
        <w:r>
          <w:fldChar w:fldCharType="begin"/>
        </w:r>
        <w:r>
          <w:instrText xml:space="preserve"> PAGEREF _Toc59804511 \h </w:instrText>
        </w:r>
        <w:r/>
        <w:r>
          <w:fldChar w:fldCharType="separate"/>
        </w:r>
        <w:r>
          <w:t xml:space="preserve">96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2" w:anchor="_Toc5980451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57. Центр компетенции</w:t>
        </w:r>
        <w:r>
          <w:tab/>
        </w:r>
        <w:r>
          <w:fldChar w:fldCharType="begin"/>
        </w:r>
        <w:r>
          <w:instrText xml:space="preserve"> PAGEREF _Toc59804512 \h </w:instrText>
        </w:r>
        <w:r/>
        <w:r>
          <w:fldChar w:fldCharType="separate"/>
        </w:r>
        <w:r>
          <w:t xml:space="preserve">97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3" w:anchor="_Toc5980451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58. Связи документов</w:t>
        </w:r>
        <w:r>
          <w:tab/>
        </w:r>
        <w:r>
          <w:fldChar w:fldCharType="begin"/>
        </w:r>
        <w:r>
          <w:instrText xml:space="preserve"> PAGEREF _Toc59804513 \h </w:instrText>
        </w:r>
        <w:r/>
        <w:r>
          <w:fldChar w:fldCharType="separate"/>
        </w:r>
        <w:r>
          <w:t xml:space="preserve">98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4" w:anchor="_Toc5980451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59. Список организаций, которым не доступны функции формирования документов в ЕИС</w:t>
        </w:r>
        <w:r>
          <w:tab/>
        </w:r>
        <w:r>
          <w:fldChar w:fldCharType="begin"/>
        </w:r>
        <w:r>
          <w:instrText xml:space="preserve"> PAGEREF _Toc59804514 \h </w:instrText>
        </w:r>
        <w:r/>
        <w:r>
          <w:fldChar w:fldCharType="separate"/>
        </w:r>
        <w:r>
          <w:t xml:space="preserve">98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5" w:anchor="_Toc5980451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60. Соответствие типов БС и ЛС</w:t>
        </w:r>
        <w:r>
          <w:tab/>
        </w:r>
        <w:r>
          <w:fldChar w:fldCharType="begin"/>
        </w:r>
        <w:r>
          <w:instrText xml:space="preserve"> PAGEREF _Toc59804515 \h </w:instrText>
        </w:r>
        <w:r/>
        <w:r>
          <w:fldChar w:fldCharType="separate"/>
        </w:r>
        <w:r>
          <w:t xml:space="preserve">99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6" w:anchor="_Toc5980451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61. Банковские счета ФК</w:t>
        </w:r>
        <w:r>
          <w:tab/>
        </w:r>
        <w:r>
          <w:fldChar w:fldCharType="begin"/>
        </w:r>
        <w:r>
          <w:instrText xml:space="preserve"> PAGEREF _Toc59804516 \h </w:instrText>
        </w:r>
        <w:r/>
        <w:r>
          <w:fldChar w:fldCharType="separate"/>
        </w:r>
        <w:r>
          <w:t xml:space="preserve">100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7" w:anchor="_Toc5980451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62. Российские банки</w:t>
        </w:r>
        <w:r>
          <w:tab/>
        </w:r>
        <w:r>
          <w:fldChar w:fldCharType="begin"/>
        </w:r>
        <w:r>
          <w:instrText xml:space="preserve"> PAGEREF _Toc59804517 \h </w:instrText>
        </w:r>
        <w:r/>
        <w:r>
          <w:fldChar w:fldCharType="separate"/>
        </w:r>
        <w:r>
          <w:t xml:space="preserve">101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8" w:anchor="_Toc5980451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63. Соответствие Центров Специализации и Расчетных Центров при казначейском сопровождении</w:t>
        </w:r>
        <w:r>
          <w:tab/>
        </w:r>
        <w:r>
          <w:fldChar w:fldCharType="begin"/>
        </w:r>
        <w:r>
          <w:instrText xml:space="preserve"> PAGEREF _Toc59804518 \h </w:instrText>
        </w:r>
        <w:r/>
        <w:r>
          <w:fldChar w:fldCharType="separate"/>
        </w:r>
        <w:r>
          <w:t xml:space="preserve">102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19" w:anchor="_Toc5980451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64. Соответствие банковского счета ТОФК (40116) организации, включенной в Сводный реестр</w:t>
        </w:r>
        <w:r>
          <w:tab/>
        </w:r>
        <w:r>
          <w:fldChar w:fldCharType="begin"/>
        </w:r>
        <w:r>
          <w:instrText xml:space="preserve"> PAGEREF _Toc59804519 \h </w:instrText>
        </w:r>
        <w:r/>
        <w:r>
          <w:fldChar w:fldCharType="separate"/>
        </w:r>
        <w:r>
          <w:t xml:space="preserve">102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0" w:anchor="_Toc5980452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65. Банковские карты</w:t>
        </w:r>
        <w:r>
          <w:tab/>
        </w:r>
        <w:r>
          <w:fldChar w:fldCharType="begin"/>
        </w:r>
        <w:r>
          <w:instrText xml:space="preserve"> PAGEREF _Toc59804520 \h </w:instrText>
        </w:r>
        <w:r/>
        <w:r>
          <w:fldChar w:fldCharType="separate"/>
        </w:r>
        <w:r>
          <w:t xml:space="preserve">103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1" w:anchor="_Toc5980452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66. Пункт меню «Сведения о денежных обязательствах»</w:t>
        </w:r>
        <w:r>
          <w:tab/>
        </w:r>
        <w:r>
          <w:fldChar w:fldCharType="begin"/>
        </w:r>
        <w:r>
          <w:instrText xml:space="preserve"> PAGEREF _Toc59804521 \h </w:instrText>
        </w:r>
        <w:r/>
        <w:r>
          <w:fldChar w:fldCharType="separate"/>
        </w:r>
        <w:r>
          <w:t xml:space="preserve">105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2" w:anchor="_Toc5980452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67. Создание нового документа «Сведения о ДО»</w:t>
        </w:r>
        <w:r>
          <w:tab/>
        </w:r>
        <w:r>
          <w:fldChar w:fldCharType="begin"/>
        </w:r>
        <w:r>
          <w:instrText xml:space="preserve"> PAGEREF _Toc59804522 \h </w:instrText>
        </w:r>
        <w:r/>
        <w:r>
          <w:fldChar w:fldCharType="separate"/>
        </w:r>
        <w:r>
          <w:t xml:space="preserve">106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3" w:anchor="_Toc59804523" w:history="1">
        <w:r>
          <w:rPr>
            <w:rStyle w:val="1011"/>
            <w:lang w:eastAsia="ko-KR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68. Создание нового документа «Сведения о соглашении и ДО» с типом «Изменение» по кнопке «Создать новый документ»</w:t>
        </w:r>
        <w:r>
          <w:tab/>
        </w:r>
        <w:r>
          <w:fldChar w:fldCharType="begin"/>
        </w:r>
        <w:r>
          <w:instrText xml:space="preserve"> PAGEREF _Toc59804523 \h </w:instrText>
        </w:r>
        <w:r/>
        <w:r>
          <w:fldChar w:fldCharType="separate"/>
        </w:r>
        <w:r>
          <w:t xml:space="preserve">107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4" w:anchor="_Toc5980452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69. Создание нового документа «Сведения о ДО» копированием</w:t>
        </w:r>
        <w:r>
          <w:tab/>
        </w:r>
        <w:r>
          <w:fldChar w:fldCharType="begin"/>
        </w:r>
        <w:r>
          <w:instrText xml:space="preserve"> PAGEREF _Toc59804524 \h </w:instrText>
        </w:r>
        <w:r/>
        <w:r>
          <w:fldChar w:fldCharType="separate"/>
        </w:r>
        <w:r>
          <w:t xml:space="preserve">108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5" w:anchor="_Toc5980452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70. Пункт меню «Перечень БО»</w:t>
        </w:r>
        <w:r>
          <w:tab/>
        </w:r>
        <w:r>
          <w:fldChar w:fldCharType="begin"/>
        </w:r>
        <w:r>
          <w:instrText xml:space="preserve"> PAGEREF _Toc59804525 \h </w:instrText>
        </w:r>
        <w:r/>
        <w:r>
          <w:fldChar w:fldCharType="separate"/>
        </w:r>
        <w:r>
          <w:t xml:space="preserve">108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6" w:anchor="_Toc5980452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71. Создание документа «Сведения о ДО» из списковой формы Перечня БО</w:t>
        </w:r>
        <w:r>
          <w:tab/>
        </w:r>
        <w:r>
          <w:fldChar w:fldCharType="begin"/>
        </w:r>
        <w:r>
          <w:instrText xml:space="preserve"> PAGEREF _Toc59804526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7" w:anchor="_Toc5980452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72. Создание документа «Сведения о ДО» из Перечня БО</w:t>
        </w:r>
        <w:r>
          <w:tab/>
        </w:r>
        <w:r>
          <w:fldChar w:fldCharType="begin"/>
        </w:r>
        <w:r>
          <w:instrText xml:space="preserve"> PAGEREF _Toc59804527 \h </w:instrText>
        </w:r>
        <w:r/>
        <w:r>
          <w:fldChar w:fldCharType="separate"/>
        </w:r>
        <w:r>
          <w:t xml:space="preserve">109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8" w:anchor="_Toc5980452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73. Создание СДО по кнопке «Создать новую версию документа»</w:t>
        </w:r>
        <w:r>
          <w:tab/>
        </w:r>
        <w:r>
          <w:fldChar w:fldCharType="begin"/>
        </w:r>
        <w:r>
          <w:instrText xml:space="preserve"> PAGEREF _Toc59804528 \h </w:instrText>
        </w:r>
        <w:r/>
        <w:r>
          <w:fldChar w:fldCharType="separate"/>
        </w:r>
        <w:r>
          <w:t xml:space="preserve">110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29" w:anchor="_Toc5980452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74. Экземпляр формуляра «Сведения о ДО», вкладка «Сведения о ДО»</w:t>
        </w:r>
        <w:r>
          <w:tab/>
        </w:r>
        <w:r>
          <w:fldChar w:fldCharType="begin"/>
        </w:r>
        <w:r>
          <w:instrText xml:space="preserve"> PAGEREF _Toc59804529 \h </w:instrText>
        </w:r>
        <w:r/>
        <w:r>
          <w:fldChar w:fldCharType="separate"/>
        </w:r>
        <w:r>
          <w:t xml:space="preserve">111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0" w:anchor="_Toc5980453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75. Экземпляр формуляра «Сведения о ДО», вкладка «Расшифровка суммы обязательства»</w:t>
        </w:r>
        <w:r>
          <w:tab/>
        </w:r>
        <w:r>
          <w:fldChar w:fldCharType="begin"/>
        </w:r>
        <w:r>
          <w:instrText xml:space="preserve"> PAGEREF _Toc59804530 \h </w:instrText>
        </w:r>
        <w:r/>
        <w:r>
          <w:fldChar w:fldCharType="separate"/>
        </w:r>
        <w:r>
          <w:t xml:space="preserve">113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1" w:anchor="_Toc5980453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76. Экземпляр формуляра «Сведения о ДО», вкладка «Документы-основания»</w:t>
        </w:r>
        <w:r>
          <w:tab/>
        </w:r>
        <w:r>
          <w:fldChar w:fldCharType="begin"/>
        </w:r>
        <w:r>
          <w:instrText xml:space="preserve"> PAGEREF _Toc59804531 \h </w:instrText>
        </w:r>
        <w:r/>
        <w:r>
          <w:fldChar w:fldCharType="separate"/>
        </w:r>
        <w:r>
          <w:t xml:space="preserve">115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2" w:anchor="_Toc5980453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77. Экземпляр формуляра «Сведения о ДО», вкладка «Сведения о постановке на учет ДО»</w:t>
        </w:r>
        <w:r>
          <w:tab/>
        </w:r>
        <w:r>
          <w:fldChar w:fldCharType="begin"/>
        </w:r>
        <w:r>
          <w:instrText xml:space="preserve"> PAGEREF _Toc59804532 \h </w:instrText>
        </w:r>
        <w:r/>
        <w:r>
          <w:fldChar w:fldCharType="separate"/>
        </w:r>
        <w:r>
          <w:t xml:space="preserve">116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3" w:anchor="_Toc5980453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78. Экземпляр формуляра «Сведения о ДО», вкладка «Лист утверждения»</w:t>
        </w:r>
        <w:r>
          <w:tab/>
        </w:r>
        <w:r>
          <w:fldChar w:fldCharType="begin"/>
        </w:r>
        <w:r>
          <w:instrText xml:space="preserve"> PAGEREF _Toc59804533 \h </w:instrText>
        </w:r>
        <w:r/>
        <w:r>
          <w:fldChar w:fldCharType="separate"/>
        </w:r>
        <w:r>
          <w:t xml:space="preserve">117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4" w:anchor="_Toc5980453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79. Окно «Результаты проверки»</w:t>
        </w:r>
        <w:r>
          <w:tab/>
        </w:r>
        <w:r>
          <w:fldChar w:fldCharType="begin"/>
        </w:r>
        <w:r>
          <w:instrText xml:space="preserve"> PAGEREF _Toc59804534 \h </w:instrText>
        </w:r>
        <w:r/>
        <w:r>
          <w:fldChar w:fldCharType="separate"/>
        </w:r>
        <w:r>
          <w:t xml:space="preserve">118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5" w:anchor="_Toc5980453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80. Окно «Сформировать лист согласования»</w:t>
        </w:r>
        <w:r>
          <w:tab/>
        </w:r>
        <w:r>
          <w:fldChar w:fldCharType="begin"/>
        </w:r>
        <w:r>
          <w:instrText xml:space="preserve"> PAGEREF _Toc59804535 \h </w:instrText>
        </w:r>
        <w:r/>
        <w:r>
          <w:fldChar w:fldCharType="separate"/>
        </w:r>
        <w:r>
          <w:t xml:space="preserve">119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6" w:anchor="_Toc5980453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81. Окно «Согласовать»</w:t>
        </w:r>
        <w:r>
          <w:tab/>
        </w:r>
        <w:r>
          <w:fldChar w:fldCharType="begin"/>
        </w:r>
        <w:r>
          <w:instrText xml:space="preserve"> PAGEREF _Toc59804536 \h </w:instrText>
        </w:r>
        <w:r/>
        <w:r>
          <w:fldChar w:fldCharType="separate"/>
        </w:r>
        <w:r>
          <w:t xml:space="preserve">120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7" w:anchor="_Toc5980453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82. Информационное сообщение</w:t>
        </w:r>
        <w:r>
          <w:tab/>
        </w:r>
        <w:r>
          <w:fldChar w:fldCharType="begin"/>
        </w:r>
        <w:r>
          <w:instrText xml:space="preserve"> PAGEREF _Toc59804537 \h </w:instrText>
        </w:r>
        <w:r/>
        <w:r>
          <w:fldChar w:fldCharType="separate"/>
        </w:r>
        <w:r>
          <w:t xml:space="preserve">120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8" w:anchor="_Toc5980453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83. Окно «Утвердить»</w:t>
        </w:r>
        <w:r>
          <w:tab/>
        </w:r>
        <w:r>
          <w:fldChar w:fldCharType="begin"/>
        </w:r>
        <w:r>
          <w:instrText xml:space="preserve"> PAGEREF _Toc59804538 \h </w:instrText>
        </w:r>
        <w:r/>
        <w:r>
          <w:fldChar w:fldCharType="separate"/>
        </w:r>
        <w:r>
          <w:t xml:space="preserve">121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39" w:anchor="_Toc5980453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84. Окно «Документ на подпись»</w:t>
        </w:r>
        <w:r>
          <w:tab/>
        </w:r>
        <w:r>
          <w:fldChar w:fldCharType="begin"/>
        </w:r>
        <w:r>
          <w:instrText xml:space="preserve"> PAGEREF _Toc59804539 \h </w:instrText>
        </w:r>
        <w:r/>
        <w:r>
          <w:fldChar w:fldCharType="separate"/>
        </w:r>
        <w:r>
          <w:t xml:space="preserve">122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0" w:anchor="_Toc5980454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85. Окно «Выбор сертификата пользователя»</w:t>
        </w:r>
        <w:r>
          <w:tab/>
        </w:r>
        <w:r>
          <w:fldChar w:fldCharType="begin"/>
        </w:r>
        <w:r>
          <w:instrText xml:space="preserve"> PAGEREF _Toc59804540 \h </w:instrText>
        </w:r>
        <w:r/>
        <w:r>
          <w:fldChar w:fldCharType="separate"/>
        </w:r>
        <w:r>
          <w:t xml:space="preserve">123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1" w:anchor="_Toc5980454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86. Экземпляр формуляра «Сведения о ДО» на статусе «Требует доработки»</w:t>
        </w:r>
        <w:r>
          <w:tab/>
        </w:r>
        <w:r>
          <w:fldChar w:fldCharType="begin"/>
        </w:r>
        <w:r>
          <w:instrText xml:space="preserve"> PAGEREF _Toc59804541 \h </w:instrText>
        </w:r>
        <w:r/>
        <w:r>
          <w:fldChar w:fldCharType="separate"/>
        </w:r>
        <w:r>
          <w:t xml:space="preserve">124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2" w:anchor="_Toc59804542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87. Экземпляр формуляра «Сведения о ДО» на статусе «Требует доработки»</w:t>
        </w:r>
        <w:r>
          <w:tab/>
        </w:r>
        <w:r>
          <w:fldChar w:fldCharType="begin"/>
        </w:r>
        <w:r>
          <w:instrText xml:space="preserve"> PAGEREF _Toc59804542 \h </w:instrText>
        </w:r>
        <w:r/>
        <w:r>
          <w:fldChar w:fldCharType="separate"/>
        </w:r>
        <w:r>
          <w:t xml:space="preserve">124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3" w:anchor="_Toc5980454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88. Выбор шаблона для вывода документа на печать</w:t>
        </w:r>
        <w:r>
          <w:tab/>
        </w:r>
        <w:r>
          <w:fldChar w:fldCharType="begin"/>
        </w:r>
        <w:r>
          <w:instrText xml:space="preserve"> PAGEREF _Toc59804543 \h </w:instrText>
        </w:r>
        <w:r/>
        <w:r>
          <w:fldChar w:fldCharType="separate"/>
        </w:r>
        <w:r>
          <w:t xml:space="preserve">126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4" w:anchor="_Toc5980454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89. Печатная форма документа «Сведения о ДО»</w:t>
        </w:r>
        <w:r>
          <w:tab/>
        </w:r>
        <w:r>
          <w:fldChar w:fldCharType="begin"/>
        </w:r>
        <w:r>
          <w:instrText xml:space="preserve"> PAGEREF _Toc59804544 \h </w:instrText>
        </w:r>
        <w:r/>
        <w:r>
          <w:fldChar w:fldCharType="separate"/>
        </w:r>
        <w:r>
          <w:t xml:space="preserve">127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5" w:anchor="_Toc5980454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90. Выбор формата экспорта документа «Сведения о ДО»</w:t>
        </w:r>
        <w:r>
          <w:tab/>
        </w:r>
        <w:r>
          <w:fldChar w:fldCharType="begin"/>
        </w:r>
        <w:r>
          <w:instrText xml:space="preserve"> PAGEREF _Toc59804545 \h </w:instrText>
        </w:r>
        <w:r/>
        <w:r>
          <w:fldChar w:fldCharType="separate"/>
        </w:r>
        <w:r>
          <w:t xml:space="preserve">128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6" w:anchor="_Toc5980454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91. Режим скроллера «Переданные полномочия»</w:t>
        </w:r>
        <w:r>
          <w:tab/>
        </w:r>
        <w:r>
          <w:fldChar w:fldCharType="begin"/>
        </w:r>
        <w:r>
          <w:instrText xml:space="preserve"> PAGEREF _Toc59804546 \h </w:instrText>
        </w:r>
        <w:r/>
        <w:r>
          <w:fldChar w:fldCharType="separate"/>
        </w:r>
        <w:r>
          <w:t xml:space="preserve">129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7" w:anchor="_Toc5980454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92. Документ не согласован в ФК</w:t>
        </w:r>
        <w:r>
          <w:tab/>
        </w:r>
        <w:r>
          <w:fldChar w:fldCharType="begin"/>
        </w:r>
        <w:r>
          <w:instrText xml:space="preserve"> PAGEREF _Toc59804547 \h </w:instrText>
        </w:r>
        <w:r/>
        <w:r>
          <w:fldChar w:fldCharType="separate"/>
        </w:r>
        <w:r>
          <w:t xml:space="preserve">130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8" w:anchor="_Toc59804548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93. Пункт меню «Перечень ДО»</w:t>
        </w:r>
        <w:r>
          <w:tab/>
        </w:r>
        <w:r>
          <w:fldChar w:fldCharType="begin"/>
        </w:r>
        <w:r>
          <w:instrText xml:space="preserve"> PAGEREF _Toc59804548 \h </w:instrText>
        </w:r>
        <w:r/>
        <w:r>
          <w:fldChar w:fldCharType="separate"/>
        </w:r>
        <w:r>
          <w:t xml:space="preserve">131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49" w:anchor="_Toc59804549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94. Списковая форма записей Перечня ДО</w:t>
        </w:r>
        <w:r>
          <w:tab/>
        </w:r>
        <w:r>
          <w:fldChar w:fldCharType="begin"/>
        </w:r>
        <w:r>
          <w:instrText xml:space="preserve"> PAGEREF _Toc59804549 \h </w:instrText>
        </w:r>
        <w:r/>
        <w:r>
          <w:fldChar w:fldCharType="separate"/>
        </w:r>
        <w:r>
          <w:t xml:space="preserve">131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0" w:anchor="_Toc59804550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95. Пункт меню «Извещение»</w:t>
        </w:r>
        <w:r>
          <w:tab/>
        </w:r>
        <w:r>
          <w:fldChar w:fldCharType="begin"/>
        </w:r>
        <w:r>
          <w:instrText xml:space="preserve"> PAGEREF _Toc59804550 \h </w:instrText>
        </w:r>
        <w:r/>
        <w:r>
          <w:fldChar w:fldCharType="separate"/>
        </w:r>
        <w:r>
          <w:t xml:space="preserve">133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1" w:anchor="_Toc59804551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96. Списковая форма «Извещение ДО»</w:t>
        </w:r>
        <w:r>
          <w:tab/>
        </w:r>
        <w:r>
          <w:fldChar w:fldCharType="begin"/>
        </w:r>
        <w:r>
          <w:instrText xml:space="preserve"> PAGEREF _Toc59804551 \h </w:instrText>
        </w:r>
        <w:r/>
        <w:r>
          <w:fldChar w:fldCharType="separate"/>
        </w:r>
        <w:r>
          <w:t xml:space="preserve">133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2" w:anchor="_Toc59804552" w:history="1">
        <w:r>
          <w:rPr>
            <w:rStyle w:val="1011"/>
            <w:lang w:eastAsia="zh-CN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  <w:lang w:eastAsia="zh-CN"/>
          </w:rPr>
          <w:t xml:space="preserve">97. Пункт меню «Протокол»</w:t>
        </w:r>
        <w:r>
          <w:tab/>
        </w:r>
        <w:r>
          <w:fldChar w:fldCharType="begin"/>
        </w:r>
        <w:r>
          <w:instrText xml:space="preserve"> PAGEREF _Toc59804552 \h </w:instrText>
        </w:r>
        <w:r/>
        <w:r>
          <w:fldChar w:fldCharType="separate"/>
        </w:r>
        <w:r>
          <w:t xml:space="preserve">134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3" w:anchor="_Toc59804553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98. Пункт меню «Универсальный передаточный документ»</w:t>
        </w:r>
        <w:r>
          <w:tab/>
        </w:r>
        <w:r>
          <w:fldChar w:fldCharType="begin"/>
        </w:r>
        <w:r>
          <w:instrText xml:space="preserve"> PAGEREF _Toc59804553 \h </w:instrText>
        </w:r>
        <w:r/>
        <w:r>
          <w:fldChar w:fldCharType="separate"/>
        </w:r>
        <w:r>
          <w:t xml:space="preserve">135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4" w:anchor="_Toc59804554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99. Горячие клавиши</w:t>
        </w:r>
        <w:r>
          <w:tab/>
        </w:r>
        <w:r>
          <w:fldChar w:fldCharType="begin"/>
        </w:r>
        <w:r>
          <w:instrText xml:space="preserve"> PAGEREF _Toc59804554 \h </w:instrText>
        </w:r>
        <w:r/>
        <w:r>
          <w:fldChar w:fldCharType="separate"/>
        </w:r>
        <w:r>
          <w:t xml:space="preserve">143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5" w:anchor="_Toc59804555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100. Форма сообщения о проблеме</w:t>
        </w:r>
        <w:r>
          <w:tab/>
        </w:r>
        <w:r>
          <w:fldChar w:fldCharType="begin"/>
        </w:r>
        <w:r>
          <w:instrText xml:space="preserve"> PAGEREF _Toc59804555 \h </w:instrText>
        </w:r>
        <w:r/>
        <w:r>
          <w:fldChar w:fldCharType="separate"/>
        </w:r>
        <w:r>
          <w:t xml:space="preserve">143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6" w:anchor="_Toc59804556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101. Информационное сообщение</w:t>
        </w:r>
        <w:r>
          <w:tab/>
        </w:r>
        <w:r>
          <w:fldChar w:fldCharType="begin"/>
        </w:r>
        <w:r>
          <w:instrText xml:space="preserve"> PAGEREF _Toc59804556 \h </w:instrText>
        </w:r>
        <w:r/>
        <w:r>
          <w:fldChar w:fldCharType="separate"/>
        </w:r>
        <w:r>
          <w:t xml:space="preserve">144</w:t>
        </w:r>
        <w:r>
          <w:fldChar w:fldCharType="end"/>
        </w:r>
      </w:hyperlink>
      <w:r/>
      <w:r/>
    </w:p>
    <w:p>
      <w:pPr>
        <w:pStyle w:val="1143"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59804557" w:anchor="_Toc59804557" w:history="1">
        <w:r>
          <w:rPr>
            <w:rStyle w:val="1011"/>
          </w:rPr>
          <w:t xml:space="preserve">Рисунок 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1011"/>
          </w:rPr>
          <w:t xml:space="preserve">102. Страница JAVA</w:t>
        </w:r>
        <w:r>
          <w:tab/>
        </w:r>
        <w:r>
          <w:fldChar w:fldCharType="begin"/>
        </w:r>
        <w:r>
          <w:instrText xml:space="preserve"> PAGEREF _Toc59804557 \h </w:instrText>
        </w:r>
        <w:r/>
        <w:r>
          <w:fldChar w:fldCharType="separate"/>
        </w:r>
        <w:r>
          <w:t xml:space="preserve">145</w:t>
        </w:r>
        <w:r>
          <w:fldChar w:fldCharType="end"/>
        </w:r>
      </w:hyperlink>
      <w:r/>
      <w:r/>
    </w:p>
    <w:p>
      <w:pPr>
        <w:pStyle w:val="989"/>
      </w:pPr>
      <w:r>
        <w:fldChar w:fldCharType="end"/>
      </w:r>
      <w:bookmarkStart w:id="14" w:name="_Toc62446025"/>
      <w:r>
        <w:t xml:space="preserve">Перечень терминов и сокращений</w:t>
      </w:r>
      <w:bookmarkEnd w:id="14"/>
      <w:r/>
      <w:r/>
    </w:p>
    <w:p>
      <w:pPr>
        <w:pStyle w:val="985"/>
      </w:pPr>
      <w:r>
        <w:t xml:space="preserve">Перечень терминов и сокращений, используемых в документ</w:t>
      </w:r>
      <w:r>
        <w:t xml:space="preserve">е</w:t>
      </w:r>
      <w:r>
        <w:t xml:space="preserve">, приведен </w:t>
      </w:r>
      <w:r>
        <w:t xml:space="preserve">в таблице </w:t>
      </w:r>
      <w:r>
        <w:fldChar w:fldCharType="begin"/>
      </w:r>
      <w:r>
        <w:instrText xml:space="preserve"> REF _Ref535601553 \h </w:instrText>
      </w:r>
      <w:r>
        <w:instrText xml:space="preserve">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 </w:t>
      </w:r>
      <w:r/>
    </w:p>
    <w:p>
      <w:pPr>
        <w:pStyle w:val="984"/>
        <w:numPr>
          <w:ilvl w:val="0"/>
          <w:numId w:val="26"/>
        </w:numPr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5" w:name="_Ref535601553"/>
      <w:r/>
      <w:bookmarkStart w:id="16" w:name="_Toc20229540"/>
      <w:r/>
      <w:bookmarkStart w:id="17" w:name="_Toc59804447"/>
      <w:r>
        <w:t xml:space="preserve">1</w:t>
      </w:r>
      <w:bookmarkEnd w:id="15"/>
      <w:r>
        <w:fldChar w:fldCharType="end"/>
      </w:r>
      <w:r>
        <w:t xml:space="preserve">. Перечень терминов и сокращений</w:t>
      </w:r>
      <w:bookmarkEnd w:id="16"/>
      <w:r/>
      <w:bookmarkEnd w:id="17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2513"/>
        <w:gridCol w:w="7181"/>
      </w:tblGrid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7"/>
            </w:pPr>
            <w:r/>
            <w:bookmarkStart w:id="18" w:name="_Ref190858709"/>
            <w:r>
              <w:t xml:space="preserve">Термин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7"/>
            </w:pPr>
            <w:r>
              <w:t xml:space="preserve">Содержание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1108"/>
                <w:i w:val="0"/>
                <w:iCs w:val="0"/>
              </w:rPr>
              <w:t xml:space="preserve">CPU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Central</w:t>
            </w:r>
            <w:r>
              <w:t xml:space="preserve"> </w:t>
            </w:r>
            <w:r>
              <w:rPr>
                <w:lang w:val="en-US"/>
              </w:rPr>
              <w:t xml:space="preserve">Processing</w:t>
            </w:r>
            <w:r>
              <w:t xml:space="preserve"> </w:t>
            </w:r>
            <w:r>
              <w:rPr>
                <w:lang w:val="en-US"/>
              </w:rPr>
              <w:t xml:space="preserve">Unit</w:t>
            </w:r>
            <w:r>
              <w:t xml:space="preserve"> - центральный процессор компьютера.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1220"/>
                <w:lang w:val="en-US"/>
              </w:rPr>
              <w:t xml:space="preserve">eToken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Аппаратные и программные решения иностранного производства в области аутентификации, защиты информации и электронной подписи. (производитель: израильская компания «</w:t>
            </w:r>
            <w:r>
              <w:rPr>
                <w:lang w:val="en-US"/>
              </w:rPr>
              <w:t xml:space="preserve">Aladdin</w:t>
            </w:r>
            <w:r>
              <w:t xml:space="preserve"> </w:t>
            </w:r>
            <w:r>
              <w:rPr>
                <w:lang w:val="en-US"/>
              </w:rPr>
              <w:t xml:space="preserve">Knowledge</w:t>
            </w:r>
            <w:r>
              <w:t xml:space="preserve"> </w:t>
            </w:r>
            <w:r>
              <w:rPr>
                <w:lang w:val="en-US"/>
              </w:rPr>
              <w:t xml:space="preserve">Systems</w:t>
            </w:r>
            <w:r>
              <w:t xml:space="preserve">»).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Excel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Microsoft</w:t>
            </w:r>
            <w:r>
              <w:t xml:space="preserve"> </w:t>
            </w:r>
            <w:r>
              <w:rPr>
                <w:lang w:val="en-US"/>
              </w:rPr>
              <w:t xml:space="preserve">Excel</w:t>
            </w:r>
            <w:r>
              <w:t xml:space="preserve">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GUID, ГУИД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Globally</w:t>
            </w:r>
            <w:r>
              <w:t xml:space="preserve"> </w:t>
            </w:r>
            <w:r>
              <w:rPr>
                <w:lang w:val="en-US"/>
              </w:rPr>
              <w:t xml:space="preserve">Unique</w:t>
            </w:r>
            <w:r>
              <w:t xml:space="preserve"> </w:t>
            </w:r>
            <w:r>
              <w:rPr>
                <w:lang w:val="en-US"/>
              </w:rPr>
              <w:t xml:space="preserve">Identifier</w:t>
            </w:r>
            <w: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Java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Язык программирования и платформа создания приложений.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Jinn-Client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Программа доверенной визуализации и подписи.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PDF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Portable</w:t>
            </w:r>
            <w:r>
              <w:t xml:space="preserve"> </w:t>
            </w:r>
            <w:r>
              <w:rPr>
                <w:lang w:val="en-US"/>
              </w:rPr>
              <w:t xml:space="preserve">Document</w:t>
            </w:r>
            <w:r>
              <w:t xml:space="preserve"> </w:t>
            </w:r>
            <w:r>
              <w:rPr>
                <w:lang w:val="en-US"/>
              </w:rPr>
              <w:t xml:space="preserve">Format</w:t>
            </w:r>
            <w:r>
              <w:t xml:space="preserve"> – формат электронных документов, предназначенный для представления в электронном виде полиграфической продукции.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RTF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Reach</w:t>
            </w:r>
            <w:r>
              <w:t xml:space="preserve"> </w:t>
            </w:r>
            <w:r>
              <w:rPr>
                <w:lang w:val="en-US"/>
              </w:rPr>
              <w:t xml:space="preserve">Text</w:t>
            </w:r>
            <w:r>
              <w:t xml:space="preserve"> </w:t>
            </w:r>
            <w:r>
              <w:rPr>
                <w:lang w:val="en-US"/>
              </w:rPr>
              <w:t xml:space="preserve">Format</w:t>
            </w:r>
            <w:r>
              <w:t xml:space="preserve">. Формат электронных документов, предназначенный для хранения размеченных текстовых документов.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1220"/>
                <w:lang w:val="en-US"/>
              </w:rPr>
              <w:t xml:space="preserve">ruToken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t xml:space="preserve">Аппаратные и программные решения российского производства в области аутентификации, защиты информации и электронной подписи. (производитель: компания «Актив»).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SMTP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Simple</w:t>
            </w:r>
            <w:r>
              <w:t xml:space="preserve"> </w:t>
            </w:r>
            <w:r>
              <w:rPr>
                <w:lang w:val="en-US"/>
              </w:rPr>
              <w:t xml:space="preserve">Mail</w:t>
            </w:r>
            <w:r>
              <w:t xml:space="preserve"> </w:t>
            </w:r>
            <w:r>
              <w:rPr>
                <w:lang w:val="en-US"/>
              </w:rPr>
              <w:t xml:space="preserve">Transfer</w:t>
            </w:r>
            <w:r>
              <w:t xml:space="preserve"> </w:t>
            </w:r>
            <w:r>
              <w:rPr>
                <w:lang w:val="en-US"/>
              </w:rPr>
              <w:t xml:space="preserve">Protocol</w:t>
            </w:r>
            <w:r>
              <w:t xml:space="preserve"> — это широко используемый сетевой протокол, предназначенный для передачи электронной почты в сетях TCP/IP.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SSO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Single</w:t>
            </w:r>
            <w:r>
              <w:t xml:space="preserve"> </w:t>
            </w:r>
            <w:r>
              <w:rPr>
                <w:lang w:val="en-US"/>
              </w:rPr>
              <w:t xml:space="preserve">Sign</w:t>
            </w:r>
            <w:r>
              <w:t xml:space="preserve">-</w:t>
            </w:r>
            <w:r>
              <w:rPr>
                <w:lang w:val="en-US"/>
              </w:rPr>
              <w:t xml:space="preserve">On</w:t>
            </w:r>
            <w:r>
              <w:t xml:space="preserve">. Технология,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URL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Единый указатель ресурсов (англ. URL – </w:t>
            </w:r>
            <w:r>
              <w:rPr>
                <w:lang w:val="en-US"/>
              </w:rPr>
              <w:t xml:space="preserve">Uniform</w:t>
            </w:r>
            <w:r>
              <w:t xml:space="preserve"> </w:t>
            </w:r>
            <w:r>
              <w:rPr>
                <w:lang w:val="en-US"/>
              </w:rPr>
              <w:t xml:space="preserve">Resource</w:t>
            </w:r>
            <w:r>
              <w:t xml:space="preserve"> </w:t>
            </w:r>
            <w:r>
              <w:rPr>
                <w:lang w:val="en-US"/>
              </w:rPr>
              <w:t xml:space="preserve">Locator</w:t>
            </w:r>
            <w:r>
              <w:t xml:space="preserve">) – единообразный локатор (определитель местонахождения) ресурса или стандартизированный способ записи адреса ресурса в сети Интернет.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XLS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Формат электронных документов </w:t>
            </w:r>
            <w:r>
              <w:rPr>
                <w:lang w:val="en-US"/>
              </w:rPr>
              <w:t xml:space="preserve">Microsoft</w:t>
            </w:r>
            <w:r>
              <w:t xml:space="preserve"> </w:t>
            </w:r>
            <w:r>
              <w:rPr>
                <w:lang w:val="en-US"/>
              </w:rPr>
              <w:t xml:space="preserve">Excel</w:t>
            </w:r>
            <w:r>
              <w:t xml:space="preserve">, предназначенный для работы с электронными таблицами.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XML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1220"/>
                <w:lang w:val="en-US"/>
              </w:rPr>
              <w:t xml:space="preserve">eXtensible</w:t>
            </w:r>
            <w:r>
              <w:t xml:space="preserve"> </w:t>
            </w:r>
            <w:r>
              <w:rPr>
                <w:lang w:val="en-US"/>
              </w:rPr>
              <w:t xml:space="preserve">Markup</w:t>
            </w:r>
            <w:r>
              <w:t xml:space="preserve"> </w:t>
            </w:r>
            <w:r>
              <w:rPr>
                <w:lang w:val="en-US"/>
              </w:rPr>
              <w:t xml:space="preserve">Language</w:t>
            </w:r>
            <w:r>
              <w:t xml:space="preserve">. Расширяемый язык разметки – текстовый формат, предназначенный для хранения структурированных данных и обмена информацией между программами.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XSD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XML </w:t>
            </w:r>
            <w:r>
              <w:rPr>
                <w:lang w:val="en-US"/>
              </w:rPr>
              <w:t xml:space="preserve">Schema</w:t>
            </w:r>
            <w:r>
              <w:t xml:space="preserve"> </w:t>
            </w:r>
            <w:r>
              <w:rPr>
                <w:lang w:val="en-US"/>
              </w:rPr>
              <w:t xml:space="preserve">Definition</w:t>
            </w:r>
            <w:r>
              <w:t xml:space="preserve">. Описание схемы XML-документа - </w:t>
            </w:r>
            <w:r>
              <w:t xml:space="preserve">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Альбом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Документ, содержащий описание требований к форматам информационного взаимодействия.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АРМ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Автоматизированное рабочее место.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АСФК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Автоматизированная система Федерального казначейства.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Бизнес-процесс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Процесс финансово-хозяйственной деятельности организаций сектора государственного управления, регламентируемый законодательными и иными нормативными правовыми актами государственных органов исполнительной власти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rPr>
                <w:szCs w:val="24"/>
              </w:rPr>
            </w:pPr>
            <w:r>
              <w:rPr>
                <w:szCs w:val="24"/>
              </w:rPr>
              <w:t xml:space="preserve">БИК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Банковский идентификационный код.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БК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Бюджетная классификация.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БО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Бюджетные обязательства – расходные обязательства, подлежащие исполнению в соответствующем финансовом году.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БС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Бюджет субъекта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Веб-сервис 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Сетевая технология, обеспечивающая межпрограммное взаимодействие на основе веб-стандартов.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ГИИС «Электронный бюджет», ЭБ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Государственная интегрированная информационная система управления общественными финансами «Электронный бюджет».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ГК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Государственный контракт, муниципальный контракт – договор, заключенный от</w:t>
            </w:r>
            <w:r>
              <w:t xml:space="preserve">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lang w:val="en-US"/>
              </w:rPr>
              <w:t xml:space="preserve">ГОСТ Р 34.10-2012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ГОСТ Р 34.10-2012. Информационная технология. Криптографическая защита информации. Процессы</w:t>
            </w:r>
            <w:r>
              <w:rPr>
                <w:lang w:val="en-US"/>
              </w:rPr>
              <w:t xml:space="preserve"> </w:t>
            </w:r>
            <w:r>
              <w:t xml:space="preserve">формирования</w:t>
            </w:r>
            <w:r>
              <w:rPr>
                <w:lang w:val="en-US"/>
              </w:rPr>
              <w:t xml:space="preserve"> и </w:t>
            </w:r>
            <w:r>
              <w:t xml:space="preserve">проверки</w:t>
            </w:r>
            <w:r>
              <w:rPr>
                <w:lang w:val="en-US"/>
              </w:rPr>
              <w:t xml:space="preserve"> </w:t>
            </w:r>
            <w:r>
              <w:t xml:space="preserve">электронной</w:t>
            </w:r>
            <w:r>
              <w:rPr>
                <w:lang w:val="en-US"/>
              </w:rPr>
              <w:t xml:space="preserve"> </w:t>
            </w:r>
            <w:r>
              <w:t xml:space="preserve">цифровой</w:t>
            </w:r>
            <w:r>
              <w:rPr>
                <w:lang w:val="en-US"/>
              </w:rPr>
              <w:t xml:space="preserve"> </w:t>
            </w:r>
            <w:r>
              <w:t xml:space="preserve">подписи</w:t>
            </w:r>
            <w:r>
              <w:rPr>
                <w:lang w:val="en-US"/>
              </w:rPr>
              <w:t xml:space="preserve">. </w:t>
            </w:r>
            <w:r>
              <w:rPr>
                <w:rStyle w:val="1220"/>
              </w:rPr>
              <w:t xml:space="preserve">Стандартинформ</w:t>
            </w:r>
            <w:r>
              <w:rPr>
                <w:lang w:val="en-US"/>
              </w:rPr>
              <w:t xml:space="preserve">, 2013.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ГРБС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Главный распорядитель бюджетных средств (главный распорядитель средств соответствующего бюджета) – орган государственной </w:t>
            </w:r>
            <w:r>
              <w:t xml:space="preserve">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</w:t>
            </w:r>
            <w:r>
              <w:t xml:space="preserve">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Действие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Простейшая неделимая составляющая процесса деятельности, выполняемая одним сотрудником за один прием с использованием одного вида технических средств. Каждое действие однозначно идентифицируется в автоматизированной системе.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Денежное обязательство, ДО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Денежные обязательства – обязанность получателя бюджетных средств уплатить бюджету, физическому лицу и юридическому лицу за счет сре</w:t>
            </w:r>
            <w:r>
              <w:t xml:space="preserve">дств бюджета определенные денежные средства в соответствии с выполненными условиями гражданско-правовой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ЕГРЮЛ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Единый государственный реестр юридических лиц.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ЕИС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Единая информационная система в сфере закупок.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ЕПБС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Единый портал бюджетной системы.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ЕСМВ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Единый сервис межсистемного взаимодействия.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ЗКР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Заявка на кассовый расход (код формы по классификатору форм документов 0531801).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ИНН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Идентификационный номер налогоплательщика.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ИС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Информационная система.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ИС АСФК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Информационная система «Автоматизированная система Федерального казначейства».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КБК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Код бюджетной классификации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Клиент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Участник бюджетного процесса бюджетов</w:t>
            </w:r>
            <w:r>
              <w:t xml:space="preserve">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rPr>
                <w:rStyle w:val="1220"/>
              </w:rPr>
            </w:pPr>
            <w:r>
              <w:rPr>
                <w:rStyle w:val="1220"/>
              </w:rPr>
              <w:t xml:space="preserve">КМИ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  <w:rPr>
                <w:rStyle w:val="1220"/>
              </w:rPr>
            </w:pPr>
            <w:r>
              <w:rPr>
                <w:rStyle w:val="1220"/>
              </w:rPr>
              <w:t xml:space="preserve">Коды мероприятий информатизации.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Кнопка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Компонент ДО ПУР ЭБ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Компонент ведения денежных обязательств модуля ведения операций по исполнению обязательств участни</w:t>
            </w:r>
            <w:r>
              <w:t xml:space="preserve">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КОСГУ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Классификация операций сектора государственного управления.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КОФК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Классификатор органов Федерального казначейства.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КПП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Код причины постановки на налоговый учет.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rPr>
                <w:rStyle w:val="1220"/>
              </w:rPr>
              <w:t xml:space="preserve">КриптоПро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Программный продукт общества с ограниченной ответственностью «Крипто-Про» для организации сервера штампов времени и для встраивания функциональности работы со штампами времени в различные приложения.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КЦСР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Классификатор целевой статьи функционального классификатора расходов.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л/с с кодом 03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Лицевой счет, открытый получателю бюджетных средств в органе Федерального казначе</w:t>
            </w:r>
            <w:r>
              <w:t xml:space="preserve">йства и предназначенный для учета бюджетных данных,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(при наличии соответствующих полномочий у п</w:t>
            </w:r>
            <w:r>
              <w:t xml:space="preserve">олучателя бюджетных средств); для учета принятых бюджетных обязательств и оплаты денежных обязательств, осуществления бюджетных операций за счет средств бюджета (в том числе в иностранной валюте и (или) источника дополнительного бюджетного финансирования).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л/с с кодом 14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Лицевой счет, открытый территориальны</w:t>
            </w:r>
            <w:r>
              <w:t xml:space="preserve">м органом Федерального казначейства для отражения операций получателя бюджетных средств, бюджетного (автономного) учреждения либо организации, принявших бюджетные полномочия в соответствии с переданными бюджетными полномочиями получателя бюджетных средств.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л/с с кодом 41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Лицевой счет, открытый территориальным органом Федерального казначейства для учета операций со средствами, предоставленными неучастникам бюджетного процесса из соответствующих бюджетов бюджетной системы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ЛБО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ЛК, Личный кабинет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Личный кабинет пользователя. Компонент предназначенный для обеспечения доступа пользователей к функциям и данным всех подсистем системы «Электронный бюджет» посредством web-интерфейса, в соответствии с полномочиями пользователя.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ЛС, л/с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Лицевой счет, открытый территориальным органом Федерального казначейства.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rPr>
                <w:szCs w:val="24"/>
              </w:rPr>
            </w:pPr>
            <w:r>
              <w:t xml:space="preserve">МО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Муниципальное образование.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Модуль ЛС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Модуль учета операций на лицевых счетах.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Модуль учета </w:t>
            </w:r>
            <w:r>
              <w:rPr>
                <w:rStyle w:val="1220"/>
              </w:rPr>
              <w:t xml:space="preserve">ПУиО</w:t>
            </w:r>
            <w:r>
              <w:t xml:space="preserve"> ЭБ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«Электронный бюджет».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МОУ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Межрегиональное операционное управление.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МФ РФ, МФ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Министерство финансов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НДС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Налог на добавленную стоимость.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НПА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Нормативный правовой акт.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НСИ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Нормативно-справочная информация.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НФА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Нефинансовые активы.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ОГРН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Основной государственный регистрационный номер – государственный регистрационный номер записи, вносимой в Единый государственный реестр юридических лиц.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ОКАТО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объектов административно-территориального деления.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ОКВ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валют.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ОКЕИ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единиц измерения.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ОКОПФ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организационно-правовых форм.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ОКПО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предприятий и организаций.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ОКСМ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стран мира.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ОКТМО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территорий муниципальных образований.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ОКУД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Общероссийский классификатор управленческой документации.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Операция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Последовательность действий автоматизированной</w:t>
            </w:r>
            <w:r>
              <w:t xml:space="preserve">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ОПФ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Организационно-правовая форма.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ОрФК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ОС ГМУ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Официальный сайт Российской Федерации в сети «Интернет» для размещения информации о Государственных (муниципальных) учреждениях.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Параметры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Данные полей документа, справочников.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ПБО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Перечень бюджетных обязательств.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ПБС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Получатель бюджетных средств (получатель средств с</w:t>
            </w:r>
            <w:r>
              <w:t xml:space="preserve">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</w:t>
            </w:r>
            <w:r>
              <w:t xml:space="preserve">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ПДО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Перечень денежных обязательств.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Перечень ДО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Перечень денежных обязательств.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ПНО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Публичное нормативное обязательство.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ПОИ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Подсистема обеспечения интеграции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ПОИБ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Подсистема обеспечения информационной безопасности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Пользователь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Лицо или организация, которое использует действующую систему для выполнения конкретной функции.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1220"/>
              </w:rPr>
              <w:t xml:space="preserve">Портлет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Подключаемый, сменный компонент пользовательского интерфейса </w:t>
            </w:r>
            <w:r>
              <w:rPr>
                <w:lang w:val="en-US"/>
              </w:rPr>
              <w:t xml:space="preserve">web</w:t>
            </w:r>
            <w:r>
              <w:t xml:space="preserve">-портала.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jc w:val="left"/>
            </w:pPr>
            <w:r>
              <w:t xml:space="preserve">ПОФР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Аналитический показатель. Предельные объемы финансирования расходов.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ПОЮЗД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Подсистема обеспечения юридической значимости документов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ППО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Прикладное программное обеспечение.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ППП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Перечень прямых получателей средств федерального бюджета.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При</w:t>
            </w:r>
            <w:r>
              <w:t xml:space="preserve">каз Минфина России</w:t>
            </w:r>
            <w:r>
              <w:t xml:space="preserve"> № </w:t>
            </w:r>
            <w:r>
              <w:t xml:space="preserve">258</w:t>
            </w:r>
            <w:r>
              <w:t xml:space="preserve">н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Приказ Министерства финансов Российской Федерации</w:t>
            </w:r>
            <w:r>
              <w:t xml:space="preserve"> от 30.10.2020 № 258н «Об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казначейства»</w:t>
            </w:r>
            <w:r>
              <w:t xml:space="preserve">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Протокол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Информационный объект, содержащий результаты обработки других информационных объектов.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ПУР ЭБ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Подсистема управления расходами государственной интегрированной информационной системы управления общественными финансами «Электронный бюджет».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ПФХД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Подс</w:t>
            </w:r>
            <w:r>
              <w:t xml:space="preserve">истемы государственной интегрированной информационной системы управления общественными финансами «Электронный бюджет», обеспечивающие проведение и учет операций финансово-хозяйственной деятельности организаций сектора государственного управления, а именно:</w:t>
            </w:r>
            <w:r/>
          </w:p>
          <w:p>
            <w:pPr>
              <w:pStyle w:val="998"/>
            </w:pPr>
            <w:r>
              <w:t xml:space="preserve">Подсистема управления кадрами;</w:t>
            </w:r>
            <w:r/>
          </w:p>
          <w:p>
            <w:pPr>
              <w:pStyle w:val="998"/>
            </w:pPr>
            <w:r>
              <w:t xml:space="preserve">Подсистема управления нефинансовыми активами;</w:t>
            </w:r>
            <w:r/>
          </w:p>
          <w:p>
            <w:pPr>
              <w:pStyle w:val="998"/>
            </w:pPr>
            <w:r>
              <w:t xml:space="preserve">Модуль формирования бюджетной (бухгалтерской) отчетности учреждений Подсистемы учета и отчетности.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РБС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</w:t>
            </w:r>
            <w:r>
              <w:t xml:space="preserve">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Регистрация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Процесс создания учетных данных при обработке информационного объекта.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Регламент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Документ, определяющий порядок и условия обмена информацией между финансовым органом субъекта Российской Федерации (муниципального образования) и органом Федерального казначейства при кассовом обслужива</w:t>
            </w:r>
            <w:r>
              <w:t xml:space="preserve">нии исполнения бюджета субъекта Российской Федерации (местного бюджета), согласованный с соответствующим финансовым органом, а при отсутствии в составе администрации муниципального образования финансового органа – администрацией муниципального образования.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РЦ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Расчетный Центр.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СБР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Сводная бюджетная роспись.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Сводный реестр, </w:t>
            </w:r>
            <w:r>
              <w:rPr>
                <w:rStyle w:val="1220"/>
              </w:rPr>
              <w:t xml:space="preserve">СвР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Реестр участников бюджетного процесса, а также юридических лиц, не являющихся участниками бюджетного процесса.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  <w:rPr>
                <w:szCs w:val="24"/>
              </w:rPr>
            </w:pPr>
            <w:r>
              <w:rPr>
                <w:szCs w:val="24"/>
              </w:rPr>
              <w:t xml:space="preserve">СВР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Средства во временном распоряжении.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СДО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/>
            <w:hyperlink r:id="rId16" w:tooltip="1.1. Как начать работу со " w:anchor="ch358" w:history="1">
              <w:r>
                <w:rPr>
                  <w:rStyle w:val="1011"/>
                  <w:color w:val="auto"/>
                  <w:u w:val="none"/>
                </w:rPr>
                <w:t xml:space="preserve">Сведения о денежных обязательствах</w:t>
              </w:r>
            </w:hyperlink>
            <w:r>
              <w:t xml:space="preserve">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СКЗИ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Средство криптографической защиты информации.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СПЗ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Справочник «Сводный перечень заказчиков».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СУЭ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Система управления эксплуатацией.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СФ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Списковая форма.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СЭД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Система электронного документооборота.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ТОФК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Территориальный орган Федерального казначейства. К территориальным органам Федерального казначейства относятся – Межрегиональное операционно</w:t>
            </w:r>
            <w:r>
              <w:t xml:space="preserve">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управления Федерального казначейства по субъектам Российской Федерации.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ТФФ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УБП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Участн</w:t>
            </w:r>
            <w:r>
              <w:t xml:space="preserve">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</w:t>
            </w:r>
            <w:r>
              <w:t xml:space="preserve">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</w:t>
            </w:r>
            <w:r>
              <w:t xml:space="preserve">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УПД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Электронный документ «Универсальный передаточный документ».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УФОС 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Универсальная фронт-офисная система.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УЦ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Удостоверяющий центр – юридическое лицо, индивидуальный предприниматель либо г</w:t>
            </w:r>
            <w:r>
              <w:t xml:space="preserve">осударственный орган или орган местного самоуправления, осуществляющие функции по созданию и выдаче сертификатов ключей проверки электронных подписей, а также иные функции, предусмотренные Федеральным законом от 06.04.2011 № 63-ФЗ «Об электронной подписи».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ФАИП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Федеральная адресная инвестиционная программа.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ФИО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Фамилия, имя, отчество.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ФК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Федеральное казначейство.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ФКР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Функциональный классификатор расходов.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ФКУ «ЦОКР»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Федеральное казенное учреждение «Центр по обеспечению деятельности Казначейства России».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Формуляр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1220"/>
              </w:rPr>
              <w:t xml:space="preserve">Метаописание</w:t>
            </w:r>
            <w:r>
              <w:t xml:space="preserve"> структуры данных, алгоритмов контроля данных и визуального представления одного информационного объекта предметной области (электронный документ, справочник, реестр, отчет).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ЦК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Центр компетенции.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ЦС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Центр Специализации.</w:t>
            </w:r>
            <w:r/>
          </w:p>
        </w:tc>
      </w:tr>
      <w:tr>
        <w:trPr/>
        <w:tc>
          <w:tcPr>
            <w:tcW w:w="1296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ЦСР</w:t>
            </w:r>
            <w:r/>
          </w:p>
        </w:tc>
        <w:tc>
          <w:tcPr>
            <w:tcW w:w="3704" w:type="pct"/>
            <w:vAlign w:val="bottom"/>
            <w:textDirection w:val="lrTb"/>
            <w:noWrap w:val="false"/>
          </w:tcPr>
          <w:p>
            <w:pPr>
              <w:pStyle w:val="996"/>
            </w:pPr>
            <w:r>
              <w:t xml:space="preserve">Целевая статья функционального классификатора расходов.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1220"/>
              </w:rPr>
              <w:t xml:space="preserve">Чекбокс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Клетка выбора из списка представленных значений.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Экземпляр формуляра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Электронный докум</w:t>
            </w:r>
            <w:r>
              <w:t xml:space="preserve">ент, отчет, запись справочника, формируемый пользователем государственной интегрированной информационной системы управления общественными финансами «Электронный бюджет» (либо поступающий из внешних информационных систем) в ходе исполнения бизнес-процессов.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ЭП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Эл</w:t>
            </w:r>
            <w:r>
              <w:t xml:space="preserve">ектронная подпись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  <w:r/>
          </w:p>
        </w:tc>
      </w:tr>
      <w:tr>
        <w:trPr/>
        <w:tc>
          <w:tcPr>
            <w:tcW w:w="1296" w:type="pct"/>
            <w:textDirection w:val="lrTb"/>
            <w:noWrap w:val="false"/>
          </w:tcPr>
          <w:p>
            <w:pPr>
              <w:pStyle w:val="996"/>
            </w:pPr>
            <w:r>
              <w:t xml:space="preserve">ЭФ</w:t>
            </w:r>
            <w:r/>
          </w:p>
        </w:tc>
        <w:tc>
          <w:tcPr>
            <w:tcW w:w="3704" w:type="pct"/>
            <w:textDirection w:val="lrTb"/>
            <w:noWrap w:val="false"/>
          </w:tcPr>
          <w:p>
            <w:pPr>
              <w:pStyle w:val="996"/>
            </w:pPr>
            <w:r>
              <w:t xml:space="preserve">Экранная форма – визуальная форма электронного документа в интерфейсе прикладного программного обеспечения.</w:t>
            </w:r>
            <w:r/>
          </w:p>
        </w:tc>
      </w:tr>
    </w:tbl>
    <w:p>
      <w:pPr>
        <w:pStyle w:val="961"/>
        <w:rPr>
          <w:rFonts w:ascii="Times New Roman Полужирный" w:hAnsi="Times New Roman Полужирный"/>
        </w:rPr>
      </w:pPr>
      <w:r/>
      <w:bookmarkStart w:id="19" w:name="_Toc20229484"/>
      <w:r/>
      <w:bookmarkStart w:id="20" w:name="_Toc62446026"/>
      <w:r/>
      <w:bookmarkEnd w:id="18"/>
      <w:r>
        <w:rPr>
          <w:rFonts w:ascii="Times New Roman Полужирный" w:hAnsi="Times New Roman Полужирный"/>
        </w:rPr>
        <w:t xml:space="preserve">Общие сведения</w:t>
      </w:r>
      <w:bookmarkEnd w:id="19"/>
      <w:r/>
      <w:bookmarkEnd w:id="20"/>
      <w:r/>
      <w:r/>
    </w:p>
    <w:p>
      <w:pPr>
        <w:pStyle w:val="962"/>
      </w:pPr>
      <w:r/>
      <w:bookmarkStart w:id="21" w:name="_Toc20229485"/>
      <w:r/>
      <w:bookmarkStart w:id="22" w:name="_Toc62446027"/>
      <w:r>
        <w:t xml:space="preserve">Назначение Компонента </w:t>
      </w:r>
      <w:r>
        <w:t xml:space="preserve">ДО ПУР ЭБ</w:t>
      </w:r>
      <w:bookmarkEnd w:id="21"/>
      <w:r/>
      <w:bookmarkEnd w:id="22"/>
      <w:r/>
      <w:r/>
    </w:p>
    <w:p>
      <w:pPr>
        <w:pStyle w:val="985"/>
      </w:pPr>
      <w:r>
        <w:t xml:space="preserve">Компонент ДО ПУР ЭБ обеспечивает выполнение функции </w:t>
      </w:r>
      <w:r>
        <w:t xml:space="preserve">ведения денежных обязательств.</w:t>
      </w:r>
      <w:r/>
    </w:p>
    <w:p>
      <w:pPr>
        <w:pStyle w:val="962"/>
      </w:pPr>
      <w:r/>
      <w:bookmarkStart w:id="23" w:name="_Toc488013148"/>
      <w:r/>
      <w:bookmarkStart w:id="24" w:name="_Toc20229486"/>
      <w:r/>
      <w:bookmarkStart w:id="25" w:name="_Ref35875644"/>
      <w:r/>
      <w:bookmarkStart w:id="26" w:name="_Toc62446028"/>
      <w:r/>
      <w:bookmarkStart w:id="27" w:name="_Ref64538691"/>
      <w:r>
        <w:rPr>
          <w:szCs w:val="28"/>
        </w:rPr>
        <w:t xml:space="preserve">Условия </w:t>
      </w:r>
      <w:r>
        <w:rPr>
          <w:szCs w:val="28"/>
        </w:rPr>
        <w:t xml:space="preserve">применения</w:t>
      </w:r>
      <w:bookmarkEnd w:id="23"/>
      <w:r>
        <w:rPr>
          <w:szCs w:val="28"/>
        </w:rPr>
        <w:t xml:space="preserve"> </w:t>
      </w:r>
      <w:r>
        <w:rPr>
          <w:szCs w:val="28"/>
        </w:rPr>
        <w:t xml:space="preserve">Компонента</w:t>
      </w:r>
      <w:r>
        <w:rPr>
          <w:szCs w:val="28"/>
        </w:rPr>
        <w:t xml:space="preserve"> </w:t>
      </w:r>
      <w:r>
        <w:t xml:space="preserve">ДО ПУР ЭБ</w:t>
      </w:r>
      <w:bookmarkEnd w:id="24"/>
      <w:r/>
      <w:bookmarkEnd w:id="25"/>
      <w:r/>
      <w:bookmarkEnd w:id="26"/>
      <w:r/>
      <w:bookmarkEnd w:id="27"/>
      <w:r/>
      <w:r/>
    </w:p>
    <w:p>
      <w:pPr>
        <w:pStyle w:val="986"/>
      </w:pPr>
      <w:r>
        <w:t xml:space="preserve">АРМ пользователя Системы долж</w:t>
      </w:r>
      <w:r>
        <w:t xml:space="preserve">но</w:t>
      </w:r>
      <w:r>
        <w:t xml:space="preserve"> соответствовать следующим характеристикам:</w:t>
      </w:r>
      <w:r/>
    </w:p>
    <w:p>
      <w:pPr>
        <w:pStyle w:val="976"/>
      </w:pPr>
      <w:r>
        <w:t xml:space="preserve">процессор: </w:t>
      </w:r>
      <w:r>
        <w:rPr>
          <w:lang w:val="en-US"/>
        </w:rPr>
        <w:t xml:space="preserve">Core</w:t>
      </w:r>
      <w:r>
        <w:t xml:space="preserve"> 2 </w:t>
      </w:r>
      <w:r>
        <w:rPr>
          <w:lang w:val="en-US"/>
        </w:rPr>
        <w:t xml:space="preserve">Duo</w:t>
      </w:r>
      <w:r>
        <w:t xml:space="preserve"> и выше;</w:t>
      </w:r>
      <w:r/>
    </w:p>
    <w:p>
      <w:pPr>
        <w:pStyle w:val="976"/>
      </w:pPr>
      <w:r>
        <w:t xml:space="preserve">2 ГБ оперативной памяти и выше;</w:t>
      </w:r>
      <w:r/>
    </w:p>
    <w:p>
      <w:pPr>
        <w:pStyle w:val="976"/>
      </w:pPr>
      <w:r>
        <w:t xml:space="preserve">2048 Мб дискового пространства и выше;</w:t>
      </w:r>
      <w:r/>
    </w:p>
    <w:p>
      <w:pPr>
        <w:pStyle w:val="976"/>
      </w:pPr>
      <w:r>
        <w:t xml:space="preserve">разрешение экрана не менее 1024x768 точек;</w:t>
      </w:r>
      <w:r/>
    </w:p>
    <w:p>
      <w:pPr>
        <w:pStyle w:val="976"/>
      </w:pPr>
      <w:r>
        <w:t xml:space="preserve">сетевой доступ к компонентам ПОИ по каналу связи, соответствующему минимальным требованиям.</w:t>
      </w:r>
      <w:r/>
    </w:p>
    <w:p>
      <w:pPr>
        <w:pStyle w:val="985"/>
      </w:pPr>
      <w:r>
        <w:t xml:space="preserve">На АРМ пользователя Системой должно быть установлено следующее программное обеспечение:</w:t>
      </w:r>
      <w:r/>
    </w:p>
    <w:p>
      <w:pPr>
        <w:pStyle w:val="976"/>
      </w:pPr>
      <w:r>
        <w:t xml:space="preserve">Интернет-обозреватель (браузер);</w:t>
      </w:r>
      <w:r/>
    </w:p>
    <w:p>
      <w:pPr>
        <w:pStyle w:val="1020"/>
      </w:pPr>
      <w:r>
        <w:t xml:space="preserve">Список допустимых браузеров и их версий:</w:t>
      </w:r>
      <w:r/>
    </w:p>
    <w:p>
      <w:pPr>
        <w:pStyle w:val="978"/>
        <w:rPr>
          <w:lang w:val="en-US"/>
        </w:rPr>
      </w:pPr>
      <w:r>
        <w:rPr>
          <w:lang w:val="en-US"/>
        </w:rPr>
        <w:t xml:space="preserve">Internet Explorer от 10.0 версии;</w:t>
      </w:r>
      <w:r/>
    </w:p>
    <w:p>
      <w:pPr>
        <w:pStyle w:val="978"/>
        <w:rPr>
          <w:lang w:val="en-US"/>
        </w:rPr>
      </w:pPr>
      <w:r>
        <w:rPr>
          <w:lang w:val="en-US"/>
        </w:rPr>
        <w:t xml:space="preserve">Mozilla Firefox от 52.0 версии;</w:t>
      </w:r>
      <w:r/>
    </w:p>
    <w:p>
      <w:pPr>
        <w:pStyle w:val="978"/>
        <w:rPr>
          <w:lang w:val="en-US"/>
        </w:rPr>
      </w:pPr>
      <w:r>
        <w:rPr>
          <w:lang w:val="en-US"/>
        </w:rPr>
        <w:t xml:space="preserve">Google Chrome от 38.0 версии;</w:t>
      </w:r>
      <w:r/>
    </w:p>
    <w:p>
      <w:pPr>
        <w:pStyle w:val="978"/>
        <w:rPr>
          <w:lang w:val="en-US"/>
        </w:rPr>
      </w:pPr>
      <w:r>
        <w:rPr>
          <w:lang w:val="en-US"/>
        </w:rPr>
        <w:t xml:space="preserve">Opera от 25.0 версии;</w:t>
      </w:r>
      <w:r/>
    </w:p>
    <w:p>
      <w:pPr>
        <w:pStyle w:val="978"/>
        <w:rPr>
          <w:lang w:val="en-US"/>
        </w:rPr>
      </w:pPr>
      <w:r>
        <w:rPr>
          <w:lang w:val="en-US"/>
        </w:rPr>
        <w:t xml:space="preserve">Спутник от 4.0 версии;</w:t>
      </w:r>
      <w:r/>
    </w:p>
    <w:p>
      <w:pPr>
        <w:pStyle w:val="978"/>
      </w:pPr>
      <w:r>
        <w:rPr>
          <w:lang w:val="en-US"/>
        </w:rPr>
        <w:t xml:space="preserve">Яндекс.Браузер от 19.0 версии</w:t>
      </w:r>
      <w:r>
        <w:t xml:space="preserve">;</w:t>
      </w:r>
      <w:r/>
    </w:p>
    <w:p>
      <w:pPr>
        <w:pStyle w:val="978"/>
      </w:pPr>
      <w:r>
        <w:rPr>
          <w:lang w:val="en-US"/>
        </w:rPr>
        <w:t xml:space="preserve">Chromium-gost </w:t>
      </w:r>
      <w:r>
        <w:t xml:space="preserve">от 87.0 версии.</w:t>
      </w:r>
      <w:r/>
    </w:p>
    <w:p>
      <w:pPr>
        <w:pStyle w:val="976"/>
      </w:pPr>
      <w:r>
        <w:rPr>
          <w:rStyle w:val="1220"/>
        </w:rPr>
        <w:t xml:space="preserve">JRE</w:t>
      </w:r>
      <w:r>
        <w:t xml:space="preserve"> </w:t>
      </w:r>
      <w:r>
        <w:rPr>
          <w:lang w:val="en-US"/>
        </w:rPr>
        <w:t xml:space="preserve">Java</w:t>
      </w:r>
      <w:r>
        <w:t xml:space="preserve"> не ниже 1.7;</w:t>
      </w:r>
      <w:r/>
    </w:p>
    <w:p>
      <w:pPr>
        <w:pStyle w:val="976"/>
      </w:pPr>
      <w:r>
        <w:t xml:space="preserve">СКЗИ </w:t>
      </w:r>
      <w:r>
        <w:rPr>
          <w:rStyle w:val="1220"/>
          <w:lang w:val="en-US"/>
        </w:rPr>
        <w:t xml:space="preserve">Jinn</w:t>
      </w:r>
      <w:r>
        <w:rPr>
          <w:rStyle w:val="1220"/>
        </w:rPr>
        <w:t xml:space="preserve">-</w:t>
      </w:r>
      <w:r>
        <w:rPr>
          <w:rStyle w:val="1220"/>
          <w:lang w:val="en-US"/>
        </w:rPr>
        <w:t xml:space="preserve">Client</w:t>
      </w:r>
      <w:r>
        <w:rPr>
          <w:rStyle w:val="1220"/>
        </w:rPr>
        <w:t xml:space="preserve"> версии не ниже 1.0.3050.0</w:t>
      </w:r>
      <w:r>
        <w:t xml:space="preserve">;</w:t>
      </w:r>
      <w:r/>
    </w:p>
    <w:p>
      <w:pPr>
        <w:pStyle w:val="976"/>
      </w:pPr>
      <w:r>
        <w:t xml:space="preserve">средство создания защищенного TLS-соединения «Континент TLS Клиент» версии не ниже 2.0.0.1440;</w:t>
      </w:r>
      <w:r/>
    </w:p>
    <w:p>
      <w:pPr>
        <w:pStyle w:val="976"/>
      </w:pPr>
      <w:r>
        <w:t xml:space="preserve">ключевой носитель </w:t>
      </w:r>
      <w:r>
        <w:rPr>
          <w:rStyle w:val="1220"/>
          <w:lang w:val="en-US"/>
        </w:rPr>
        <w:t xml:space="preserve">ruToken</w:t>
      </w:r>
      <w:r>
        <w:rPr>
          <w:rStyle w:val="1220"/>
        </w:rPr>
        <w:t xml:space="preserve"> или </w:t>
      </w:r>
      <w:r>
        <w:rPr>
          <w:rStyle w:val="1220"/>
          <w:lang w:val="en-US"/>
        </w:rPr>
        <w:t xml:space="preserve">eToken</w:t>
      </w:r>
      <w:r>
        <w:t xml:space="preserve"> с действующим сертификатом, выданным аккредитованным УЦ;</w:t>
      </w:r>
      <w:r/>
    </w:p>
    <w:p>
      <w:pPr>
        <w:pStyle w:val="976"/>
      </w:pPr>
      <w:r>
        <w:t xml:space="preserve">пользователю должен быть выдан сертификат, выпущенный по ГОСТ Р 34.10-2012.</w:t>
      </w:r>
      <w:r/>
    </w:p>
    <w:p>
      <w:pPr>
        <w:pStyle w:val="987"/>
      </w:pPr>
      <w:r>
        <w:rPr>
          <w:rStyle w:val="992"/>
        </w:rPr>
        <w:t xml:space="preserve">Примечание.</w:t>
      </w:r>
      <w:r>
        <w:rPr>
          <w:rStyle w:val="992"/>
        </w:rPr>
        <w:tab/>
      </w:r>
      <w:r>
        <w:t xml:space="preserve">В используемом интернет-обозревателе должна быть включена поддержка </w:t>
      </w:r>
      <w:r>
        <w:rPr>
          <w:lang w:val="en-US"/>
        </w:rPr>
        <w:t xml:space="preserve">JavaScript</w:t>
      </w:r>
      <w:r>
        <w:t xml:space="preserve"> и поддержка </w:t>
      </w:r>
      <w:r>
        <w:rPr>
          <w:lang w:val="en-US"/>
        </w:rPr>
        <w:t xml:space="preserve">java</w:t>
      </w:r>
      <w:r>
        <w:t xml:space="preserve">.</w:t>
      </w:r>
      <w:r/>
    </w:p>
    <w:p>
      <w:pPr>
        <w:pStyle w:val="962"/>
      </w:pPr>
      <w:r/>
      <w:bookmarkStart w:id="28" w:name="_Toc20229487"/>
      <w:r/>
      <w:bookmarkStart w:id="29" w:name="_Toc62446029"/>
      <w:r>
        <w:t xml:space="preserve">Описание требуемого уровня подготовки работника</w:t>
      </w:r>
      <w:bookmarkEnd w:id="28"/>
      <w:r/>
      <w:bookmarkEnd w:id="29"/>
      <w:r/>
      <w:r/>
    </w:p>
    <w:p>
      <w:pPr>
        <w:pStyle w:val="985"/>
      </w:pPr>
      <w:r>
        <w:t xml:space="preserve">Пользователи, работающие с прикладным программным обеспечением Подсистемы</w:t>
      </w:r>
      <w:r>
        <w:t xml:space="preserve">,</w:t>
      </w:r>
      <w:r>
        <w:t xml:space="preserve"> должны обладать практическими навыками работы с графическим пользовательским интерфейсом операционных систем семейства </w:t>
      </w:r>
      <w:r>
        <w:rPr>
          <w:lang w:val="en-US"/>
        </w:rPr>
        <w:t xml:space="preserve">Windows</w:t>
      </w:r>
      <w:r>
        <w:t xml:space="preserve">.</w:t>
      </w:r>
      <w:r/>
    </w:p>
    <w:p>
      <w:pPr>
        <w:pStyle w:val="962"/>
      </w:pPr>
      <w:r/>
      <w:bookmarkStart w:id="30" w:name="_Toc20229488"/>
      <w:r/>
      <w:bookmarkStart w:id="31" w:name="_Toc62446030"/>
      <w:r>
        <w:t xml:space="preserve">Перечень эксплуатационной документации, с которой необходимо ознакомиться работнику</w:t>
      </w:r>
      <w:bookmarkEnd w:id="30"/>
      <w:r/>
      <w:bookmarkEnd w:id="31"/>
      <w:r/>
      <w:r/>
    </w:p>
    <w:p>
      <w:pPr>
        <w:pStyle w:val="986"/>
      </w:pPr>
      <w:r>
        <w:t xml:space="preserve">Для облегчения понимания материала, изложенного в данном документе, необходимо предварительно ознакомиться с документами:</w:t>
      </w:r>
      <w:r/>
    </w:p>
    <w:p>
      <w:pPr>
        <w:pStyle w:val="976"/>
      </w:pPr>
      <w:r>
        <w:t xml:space="preserve">«</w:t>
      </w:r>
      <w:r>
        <w:t xml:space="preserve">Технологическая инструкция (регламент)</w:t>
      </w:r>
      <w:r>
        <w:t xml:space="preserve">»</w:t>
      </w:r>
      <w:r>
        <w:t xml:space="preserve">;</w:t>
      </w:r>
      <w:r/>
    </w:p>
    <w:p>
      <w:pPr>
        <w:pStyle w:val="976"/>
      </w:pPr>
      <w:r>
        <w:t xml:space="preserve">Руководство работников (представителей) участников системы «Электронный бюджет» по работе с подсистемой (компонентом, модулем)</w:t>
      </w:r>
      <w:r>
        <w:t xml:space="preserve">.</w:t>
      </w:r>
      <w:r/>
    </w:p>
    <w:p>
      <w:pPr>
        <w:pStyle w:val="985"/>
      </w:pPr>
      <w:r>
        <w:t xml:space="preserve">С основными программными и аппаратными требованиями к Компоненту ДО ПУР ЭБ можно ознакомиться в документе </w:t>
      </w:r>
      <w:r>
        <w:t xml:space="preserve">«Описание комплекса технических средств»</w:t>
      </w:r>
      <w:r>
        <w:t xml:space="preserve">.</w:t>
      </w:r>
      <w:r/>
    </w:p>
    <w:p>
      <w:pPr>
        <w:pStyle w:val="961"/>
        <w:rPr>
          <w:rFonts w:ascii="Times New Roman Полужирный" w:hAnsi="Times New Roman Полужирный"/>
        </w:rPr>
      </w:pPr>
      <w:r/>
      <w:bookmarkStart w:id="32" w:name="_Toc20229489"/>
      <w:r/>
      <w:bookmarkStart w:id="33" w:name="_Toc62446031"/>
      <w:r>
        <w:rPr>
          <w:rFonts w:ascii="Times New Roman Полужирный" w:hAnsi="Times New Roman Полужирный"/>
        </w:rPr>
        <w:t xml:space="preserve">Описание </w:t>
      </w:r>
      <w:r>
        <w:rPr>
          <w:rFonts w:ascii="Times New Roman Полужирный" w:hAnsi="Times New Roman Полужирный"/>
        </w:rPr>
        <w:t xml:space="preserve">п</w:t>
      </w:r>
      <w:r>
        <w:rPr>
          <w:rFonts w:ascii="Times New Roman Полужирный" w:hAnsi="Times New Roman Полужирный"/>
        </w:rPr>
        <w:t xml:space="preserve">оряд</w:t>
      </w:r>
      <w:r>
        <w:rPr>
          <w:rFonts w:ascii="Times New Roman Полужирный" w:hAnsi="Times New Roman Полужирный"/>
        </w:rPr>
        <w:t xml:space="preserve">ка работы с Компонентом </w:t>
      </w:r>
      <w:r>
        <w:rPr>
          <w:rFonts w:ascii="Times New Roman Полужирный" w:hAnsi="Times New Roman Полужирный"/>
        </w:rPr>
        <w:t xml:space="preserve">ДО ПУР ЭБ</w:t>
      </w:r>
      <w:bookmarkEnd w:id="32"/>
      <w:r/>
      <w:bookmarkEnd w:id="33"/>
      <w:r/>
      <w:r/>
    </w:p>
    <w:p>
      <w:pPr>
        <w:pStyle w:val="985"/>
      </w:pPr>
      <w:r>
        <w:t xml:space="preserve">Для начала сеанса работы с Компонентом </w:t>
      </w:r>
      <w:r>
        <w:t xml:space="preserve">Д</w:t>
      </w:r>
      <w:r>
        <w:t xml:space="preserve">О ПУР ЭБ необходимо выполнить последовательность действий, описанную в разделе </w:t>
      </w:r>
      <w:r>
        <w:fldChar w:fldCharType="begin"/>
      </w:r>
      <w:r>
        <w:instrText xml:space="preserve"> REF _Ref495640606 \r \h </w:instrText>
      </w:r>
      <w:r>
        <w:fldChar w:fldCharType="separate"/>
      </w:r>
      <w:r>
        <w:t xml:space="preserve">4.1</w:t>
      </w:r>
      <w:r>
        <w:fldChar w:fldCharType="end"/>
      </w:r>
      <w:r>
        <w:t xml:space="preserve"> настоящего документа. При появлении сообщения об ошибке необходимо выполнить действия, описанные в разделе </w:t>
      </w:r>
      <w:r>
        <w:fldChar w:fldCharType="begin"/>
      </w:r>
      <w:r>
        <w:instrText xml:space="preserve"> REF _Ref495640620 \r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 настоящего документа.</w:t>
      </w:r>
      <w:r/>
    </w:p>
    <w:p>
      <w:pPr>
        <w:pStyle w:val="961"/>
        <w:rPr>
          <w:rFonts w:ascii="Times New Roman Полужирный" w:hAnsi="Times New Roman Полужирный"/>
        </w:rPr>
      </w:pPr>
      <w:r/>
      <w:bookmarkStart w:id="34" w:name="_Toc502160706"/>
      <w:r/>
      <w:bookmarkStart w:id="35" w:name="_Toc20229490"/>
      <w:r/>
      <w:bookmarkStart w:id="36" w:name="_Toc62446032"/>
      <w:r>
        <w:rPr>
          <w:rFonts w:ascii="Times New Roman Полужирный" w:hAnsi="Times New Roman Полужирный"/>
        </w:rPr>
        <w:t xml:space="preserve">Перечень, структура, описание порядка поступления и способа передачи информации в Компоненте ДО ПУР ЭБ</w:t>
      </w:r>
      <w:bookmarkEnd w:id="34"/>
      <w:r/>
      <w:bookmarkEnd w:id="35"/>
      <w:r/>
      <w:bookmarkEnd w:id="36"/>
      <w:r/>
      <w:r/>
    </w:p>
    <w:p>
      <w:pPr>
        <w:pStyle w:val="986"/>
      </w:pPr>
      <w:r>
        <w:t xml:space="preserve">Перечень, структура, описани</w:t>
      </w:r>
      <w:r>
        <w:t xml:space="preserve">е</w:t>
      </w:r>
      <w:r>
        <w:t xml:space="preserve"> порядка поступления и способа передачи информации описаны в документах:</w:t>
      </w:r>
      <w:r/>
    </w:p>
    <w:p>
      <w:pPr>
        <w:pStyle w:val="976"/>
      </w:pPr>
      <w:r>
        <w:t xml:space="preserve">«Описание информационного обеспечения»;</w:t>
      </w:r>
      <w:r/>
    </w:p>
    <w:p>
      <w:pPr>
        <w:pStyle w:val="976"/>
      </w:pPr>
      <w:r>
        <w:t xml:space="preserve">«Требования к информационному взаимодействию»;</w:t>
      </w:r>
      <w:r/>
    </w:p>
    <w:p>
      <w:pPr>
        <w:pStyle w:val="976"/>
      </w:pPr>
      <w:r>
        <w:t xml:space="preserve">«Описание организации информационной базы».</w:t>
      </w:r>
      <w:r/>
    </w:p>
    <w:p>
      <w:pPr>
        <w:pStyle w:val="961"/>
        <w:rPr>
          <w:rFonts w:asciiTheme="minorHAnsi" w:hAnsiTheme="minorHAnsi"/>
        </w:rPr>
      </w:pPr>
      <w:r/>
      <w:bookmarkStart w:id="37" w:name="Par89"/>
      <w:r/>
      <w:bookmarkStart w:id="38" w:name="Par93"/>
      <w:r/>
      <w:bookmarkStart w:id="39" w:name="_Toc20229491"/>
      <w:r/>
      <w:bookmarkStart w:id="40" w:name="_Toc62446033"/>
      <w:r/>
      <w:bookmarkStart w:id="41" w:name="_Ref64538698"/>
      <w:r/>
      <w:bookmarkEnd w:id="37"/>
      <w:r/>
      <w:bookmarkEnd w:id="38"/>
      <w:r>
        <w:t xml:space="preserve">Описание </w:t>
      </w:r>
      <w:r>
        <w:t xml:space="preserve">ф</w:t>
      </w:r>
      <w:r>
        <w:t xml:space="preserve">ункци</w:t>
      </w:r>
      <w:r>
        <w:t xml:space="preserve">й</w:t>
      </w:r>
      <w:r>
        <w:t xml:space="preserve"> и бизнес-процесс</w:t>
      </w:r>
      <w:r>
        <w:t xml:space="preserve">ов</w:t>
      </w:r>
      <w:r>
        <w:t xml:space="preserve"> </w:t>
      </w:r>
      <w:r>
        <w:t xml:space="preserve">Компонента</w:t>
      </w:r>
      <w:r>
        <w:t xml:space="preserve"> </w:t>
      </w:r>
      <w:r>
        <w:t xml:space="preserve">ДО ПУР ЭБ</w:t>
      </w:r>
      <w:bookmarkEnd w:id="39"/>
      <w:r/>
      <w:bookmarkEnd w:id="40"/>
      <w:r/>
      <w:bookmarkEnd w:id="41"/>
      <w:r/>
      <w:r/>
    </w:p>
    <w:p>
      <w:pPr>
        <w:pStyle w:val="985"/>
      </w:pPr>
      <w:r>
        <w:t xml:space="preserve">Подробный перечень и описание функций и бизнес-процессов Компонента Д</w:t>
      </w:r>
      <w:r>
        <w:rPr>
          <w:lang w:val="en-US"/>
        </w:rPr>
        <w:t xml:space="preserve">O</w:t>
      </w:r>
      <w:r>
        <w:t xml:space="preserve"> ПУР ЭБ, полность</w:t>
      </w:r>
      <w:r>
        <w:t xml:space="preserve">ю или частично обеспечиваемых средствами ИС и осуществляемых в интересах эксплуатации ИС, приведены в документе «Технологическая инструкция (регламент). Подсистема управления расходами системы „Электронный бюджет“. Компонент ведения денежных обязательств».</w:t>
      </w:r>
      <w:r/>
    </w:p>
    <w:p>
      <w:pPr>
        <w:pStyle w:val="985"/>
      </w:pPr>
      <w:r>
        <w:t xml:space="preserve">Информация о соответствии полномочий перечню ролей доступа, используемых для проведения операций в Компоненте БО ПУР ЭБ, приведена </w:t>
      </w:r>
      <w:r>
        <w:t xml:space="preserve">в таблице </w:t>
      </w:r>
      <w:r>
        <w:fldChar w:fldCharType="begin"/>
      </w:r>
      <w:r>
        <w:instrText xml:space="preserve"> REF _Ref17202862 \h 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984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2" w:name="_Ref17202862"/>
      <w:r/>
      <w:bookmarkStart w:id="43" w:name="_Toc20229541"/>
      <w:r/>
      <w:bookmarkStart w:id="44" w:name="_Toc59804448"/>
      <w:r>
        <w:t xml:space="preserve">2</w:t>
      </w:r>
      <w:bookmarkEnd w:id="42"/>
      <w:r>
        <w:fldChar w:fldCharType="end"/>
      </w:r>
      <w:r>
        <w:t xml:space="preserve">. Полномочия и коды ролей доступа</w:t>
      </w:r>
      <w:bookmarkEnd w:id="43"/>
      <w:r/>
      <w:bookmarkEnd w:id="44"/>
      <w:r/>
      <w:r/>
    </w:p>
    <w:tbl>
      <w:tblPr>
        <w:tblStyle w:val="995"/>
        <w:tblW w:w="5000" w:type="pct"/>
        <w:tblLook w:val="00A0" w:firstRow="1" w:lastRow="0" w:firstColumn="1" w:lastColumn="0" w:noHBand="0" w:noVBand="0"/>
      </w:tblPr>
      <w:tblGrid>
        <w:gridCol w:w="2439"/>
        <w:gridCol w:w="2474"/>
        <w:gridCol w:w="4781"/>
      </w:tblGrid>
      <w:tr>
        <w:trPr>
          <w:trHeight w:val="758" w:hRule="exact"/>
        </w:trPr>
        <w:tc>
          <w:tcPr>
            <w:gridSpan w:val="2"/>
            <w:tcW w:w="2534" w:type="pct"/>
            <w:textDirection w:val="lrTb"/>
            <w:noWrap w:val="false"/>
          </w:tcPr>
          <w:p>
            <w:pPr>
              <w:pStyle w:val="997"/>
            </w:pPr>
            <w:r>
              <w:t xml:space="preserve">Полномочие</w:t>
            </w:r>
            <w:r/>
          </w:p>
        </w:tc>
        <w:tc>
          <w:tcPr>
            <w:tcW w:w="2466" w:type="pct"/>
            <w:textDirection w:val="lrTb"/>
            <w:noWrap w:val="false"/>
          </w:tcPr>
          <w:p>
            <w:pPr>
              <w:pStyle w:val="997"/>
            </w:pPr>
            <w:r>
              <w:t xml:space="preserve">Код роли доступа в ПУР ЭБ</w:t>
            </w:r>
            <w:r/>
          </w:p>
        </w:tc>
      </w:tr>
      <w:tr>
        <w:trPr>
          <w:trHeight w:val="502"/>
        </w:trPr>
        <w:tc>
          <w:tcPr>
            <w:tcW w:w="1258" w:type="pct"/>
            <w:vMerge w:val="restart"/>
            <w:textDirection w:val="lrTb"/>
            <w:noWrap w:val="false"/>
          </w:tcPr>
          <w:p>
            <w:pPr>
              <w:pStyle w:val="996"/>
            </w:pPr>
            <w:r>
              <w:t xml:space="preserve">Формирование документов по бюджетным и денежным обязательствам, платежных документов для операций со средствами бюджета (Клиент)</w:t>
            </w:r>
            <w:r/>
          </w:p>
        </w:tc>
        <w:tc>
          <w:tcPr>
            <w:tcW w:w="1276" w:type="pct"/>
            <w:textDirection w:val="lrTb"/>
            <w:noWrap w:val="false"/>
          </w:tcPr>
          <w:p>
            <w:pPr>
              <w:pStyle w:val="996"/>
              <w:rPr>
                <w:spacing w:val="6"/>
              </w:rPr>
            </w:pPr>
            <w:r>
              <w:rPr>
                <w:spacing w:val="6"/>
              </w:rPr>
              <w:t xml:space="preserve">Ввод данных</w:t>
            </w:r>
            <w:r/>
          </w:p>
        </w:tc>
        <w:tc>
          <w:tcPr>
            <w:tcW w:w="2466" w:type="pct"/>
            <w:textDirection w:val="lrTb"/>
            <w:noWrap w:val="false"/>
          </w:tcPr>
          <w:p>
            <w:pPr>
              <w:pStyle w:val="996"/>
            </w:pPr>
            <w:r>
              <w:t xml:space="preserve">БО.001 Клиент.Ввод данных СБО (ПБС)</w:t>
            </w:r>
            <w:r/>
          </w:p>
        </w:tc>
      </w:tr>
      <w:tr>
        <w:trPr>
          <w:trHeight w:val="587"/>
        </w:trPr>
        <w:tc>
          <w:tcPr>
            <w:tcW w:w="1258" w:type="pct"/>
            <w:vMerge w:val="continue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76" w:type="pct"/>
            <w:textDirection w:val="lrTb"/>
            <w:noWrap w:val="false"/>
          </w:tcPr>
          <w:p>
            <w:pPr>
              <w:pStyle w:val="996"/>
              <w:rPr>
                <w:spacing w:val="6"/>
              </w:rPr>
            </w:pPr>
            <w:r>
              <w:rPr>
                <w:spacing w:val="6"/>
              </w:rPr>
              <w:t xml:space="preserve">Согласование</w:t>
            </w:r>
            <w:r/>
          </w:p>
        </w:tc>
        <w:tc>
          <w:tcPr>
            <w:tcW w:w="2466" w:type="pct"/>
            <w:textDirection w:val="lrTb"/>
            <w:noWrap w:val="false"/>
          </w:tcPr>
          <w:p>
            <w:pPr>
              <w:pStyle w:val="996"/>
            </w:pPr>
            <w:r>
              <w:t xml:space="preserve">БО.002 Клиент.Согласование данных СБО (ПБС)</w:t>
            </w:r>
            <w:r/>
          </w:p>
        </w:tc>
      </w:tr>
      <w:tr>
        <w:trPr>
          <w:trHeight w:val="502"/>
        </w:trPr>
        <w:tc>
          <w:tcPr>
            <w:tcW w:w="1258" w:type="pct"/>
            <w:vMerge w:val="continue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76" w:type="pct"/>
            <w:textDirection w:val="lrTb"/>
            <w:noWrap w:val="false"/>
          </w:tcPr>
          <w:p>
            <w:pPr>
              <w:pStyle w:val="996"/>
              <w:rPr>
                <w:spacing w:val="6"/>
              </w:rPr>
            </w:pPr>
            <w:r>
              <w:rPr>
                <w:spacing w:val="6"/>
              </w:rPr>
              <w:t xml:space="preserve">Утверждение</w:t>
            </w:r>
            <w:r/>
          </w:p>
        </w:tc>
        <w:tc>
          <w:tcPr>
            <w:tcW w:w="2466" w:type="pct"/>
            <w:textDirection w:val="lrTb"/>
            <w:noWrap w:val="false"/>
          </w:tcPr>
          <w:p>
            <w:pPr>
              <w:pStyle w:val="996"/>
            </w:pPr>
            <w:r>
              <w:t xml:space="preserve">БО.003 Клиент.Утверждение СБО (ПБС)</w:t>
            </w:r>
            <w:r/>
          </w:p>
        </w:tc>
      </w:tr>
      <w:tr>
        <w:trPr>
          <w:trHeight w:val="502"/>
        </w:trPr>
        <w:tc>
          <w:tcPr>
            <w:tcW w:w="1258" w:type="pct"/>
            <w:vMerge w:val="continue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76" w:type="pct"/>
            <w:textDirection w:val="lrTb"/>
            <w:noWrap w:val="false"/>
          </w:tcPr>
          <w:p>
            <w:pPr>
              <w:pStyle w:val="996"/>
              <w:rPr>
                <w:spacing w:val="6"/>
              </w:rPr>
            </w:pPr>
            <w:r>
              <w:rPr>
                <w:spacing w:val="6"/>
              </w:rPr>
              <w:t xml:space="preserve">Просмотр</w:t>
            </w:r>
            <w:r/>
          </w:p>
        </w:tc>
        <w:tc>
          <w:tcPr>
            <w:tcW w:w="2466" w:type="pct"/>
            <w:textDirection w:val="lrTb"/>
            <w:noWrap w:val="false"/>
          </w:tcPr>
          <w:p>
            <w:pPr>
              <w:pStyle w:val="996"/>
            </w:pPr>
            <w:r>
              <w:t xml:space="preserve">БО.004 Клиент.Просмотр СБО (ПБС)</w:t>
            </w:r>
            <w:r/>
          </w:p>
        </w:tc>
      </w:tr>
    </w:tbl>
    <w:p>
      <w:pPr>
        <w:pStyle w:val="962"/>
        <w:ind w:left="851" w:hanging="851"/>
        <w:tabs>
          <w:tab w:val="clear" w:pos="576" w:leader="none"/>
        </w:tabs>
      </w:pPr>
      <w:r/>
      <w:bookmarkStart w:id="45" w:name="_Toc497068398"/>
      <w:r/>
      <w:bookmarkStart w:id="46" w:name="_Toc533087046"/>
      <w:r/>
      <w:bookmarkStart w:id="47" w:name="_Toc40995591"/>
      <w:r/>
      <w:bookmarkStart w:id="48" w:name="_Toc62446034"/>
      <w:r/>
      <w:bookmarkStart w:id="49" w:name="_Toc494874162"/>
      <w:r/>
      <w:bookmarkStart w:id="50" w:name="_Ref495640606"/>
      <w:r/>
      <w:bookmarkStart w:id="51" w:name="_Toc20229498"/>
      <w:r>
        <w:t xml:space="preserve">Бизнес-процесс «</w:t>
      </w:r>
      <w:bookmarkEnd w:id="45"/>
      <w:r>
        <w:t xml:space="preserve">Предоставление документа «Сведения о денежном обязательстве» на стороне Клиента»</w:t>
      </w:r>
      <w:bookmarkEnd w:id="46"/>
      <w:r/>
      <w:bookmarkEnd w:id="47"/>
      <w:r/>
      <w:bookmarkEnd w:id="48"/>
      <w:r/>
      <w:r/>
    </w:p>
    <w:p>
      <w:pPr>
        <w:pStyle w:val="986"/>
      </w:pPr>
      <w:r>
        <w:t xml:space="preserve">Бизнес-процесс «Предоставление документа «Сведения о денежном обязательстве» на стороне Клиента» выполняется с целью включения в Перечень ДО информации о денежном обязательстве, возникшем из:</w:t>
      </w:r>
      <w:r/>
    </w:p>
    <w:p>
      <w:pPr>
        <w:pStyle w:val="976"/>
      </w:pPr>
      <w:r>
        <w:t xml:space="preserve">информации об исполнении условий предоставления из федерального бюджета межбюджетного трансферта и субсидии юридическому лицу;</w:t>
      </w:r>
      <w:r/>
    </w:p>
    <w:p>
      <w:pPr>
        <w:pStyle w:val="976"/>
      </w:pPr>
      <w:r>
        <w:t xml:space="preserve">сведений об исполнении ГК/договора.</w:t>
      </w:r>
      <w:r/>
    </w:p>
    <w:p>
      <w:pPr>
        <w:pStyle w:val="986"/>
      </w:pPr>
      <w:r>
        <w:t xml:space="preserve">Бизнес-процесс «Предоставление документа «Сведения о денежном обязательстве» на стороне Клиента» в Компоненте ДО ПУР ЭБ представляет собой последовательное выполнение </w:t>
      </w:r>
      <w:r>
        <w:rPr>
          <w:rStyle w:val="1220"/>
        </w:rPr>
        <w:t xml:space="preserve">подпроцессов</w:t>
      </w:r>
      <w:r>
        <w:t xml:space="preserve">:</w:t>
      </w:r>
      <w:r/>
    </w:p>
    <w:p>
      <w:pPr>
        <w:pStyle w:val="1147"/>
      </w:pPr>
      <w:r>
        <w:t xml:space="preserve">Формирование формуляра «Сведения о денежном обязательстве»:</w:t>
      </w:r>
      <w:r/>
    </w:p>
    <w:p>
      <w:pPr>
        <w:pStyle w:val="983"/>
      </w:pPr>
      <w:r>
        <w:t xml:space="preserve">В </w:t>
      </w:r>
      <w:r>
        <w:t xml:space="preserve">ЛК</w:t>
      </w:r>
      <w:r>
        <w:t xml:space="preserve"> Клиента ПУР ЭБ:</w:t>
      </w:r>
      <w:r/>
    </w:p>
    <w:p>
      <w:pPr>
        <w:pStyle w:val="978"/>
      </w:pPr>
      <w:r>
        <w:t xml:space="preserve">посредством ру</w:t>
      </w:r>
      <w:r>
        <w:t xml:space="preserve">чного вызова создания на основании экземпляра формуляра «Сведения о бюджетном обязательстве». При этом заполнение реквизитов экземпляра формуляра осуществляется на основании родительского формуляра. Реквизиты суммы доступны Пользователю для редактирования;</w:t>
      </w:r>
      <w:r/>
    </w:p>
    <w:p>
      <w:pPr>
        <w:pStyle w:val="978"/>
      </w:pPr>
      <w:r>
        <w:t xml:space="preserve">посредством импорта файла из ИС Клиента ПУР ЭБ, соответствующего требованиям Альбома ТФФ актуальной версии.</w:t>
      </w:r>
      <w:r/>
    </w:p>
    <w:p>
      <w:pPr>
        <w:pStyle w:val="983"/>
      </w:pPr>
      <w:r>
        <w:t xml:space="preserve">Прием формуляра «Сведения о денежном обязательстве» при взаимодействии с внешними системами организаций.</w:t>
      </w:r>
      <w:r/>
    </w:p>
    <w:p>
      <w:pPr>
        <w:pStyle w:val="983"/>
      </w:pPr>
      <w:r>
        <w:t xml:space="preserve">Прием формуляра «Сведения о денежном обязательстве» при взаимодействии с ЕИС.</w:t>
      </w:r>
      <w:r/>
    </w:p>
    <w:p>
      <w:pPr>
        <w:pStyle w:val="1147"/>
      </w:pPr>
      <w:r>
        <w:t xml:space="preserve">Проверка формуляра «Сведения о денежном обязательстве».</w:t>
      </w:r>
      <w:r/>
    </w:p>
    <w:p>
      <w:pPr>
        <w:pStyle w:val="1147"/>
      </w:pPr>
      <w:r>
        <w:t xml:space="preserve">Согласование и утверждение формуляра «Сведения о денежном обязательстве».</w:t>
      </w:r>
      <w:r/>
    </w:p>
    <w:p>
      <w:pPr>
        <w:pStyle w:val="1147"/>
      </w:pPr>
      <w:r>
        <w:t xml:space="preserve">Отправка формуляра «Сведения о денежном обязательстве» Клиентом в ТОФК.</w:t>
      </w:r>
      <w:r/>
    </w:p>
    <w:p>
      <w:pPr>
        <w:pStyle w:val="1147"/>
      </w:pPr>
      <w:r>
        <w:t xml:space="preserve">Отзыв формуляра «Сведения о денежном обязательстве».</w:t>
      </w:r>
      <w:r/>
    </w:p>
    <w:p>
      <w:pPr>
        <w:pStyle w:val="985"/>
      </w:pPr>
      <w:r>
        <w:t xml:space="preserve">Сформированный Клиентом экземпляр формуляра «Сведения о денежном обязательстве» в </w:t>
      </w:r>
      <w:r>
        <w:t xml:space="preserve">ЛК</w:t>
      </w:r>
      <w:r>
        <w:t xml:space="preserve"> Клиента проходит автоматизированную проверку на соответствие применения правил</w:t>
      </w:r>
      <w:r>
        <w:t xml:space="preserve"> формирования формуляра «Сведения о денежном обязательстве» на этапе завершения редактирования экземпляра формуляра, возникшем из информации об исполнении условий предоставления из федерального бюджета межбюджетного трансферта и субсидии юридическому лицу.</w:t>
      </w:r>
      <w:r/>
    </w:p>
    <w:p>
      <w:pPr>
        <w:pStyle w:val="985"/>
      </w:pPr>
      <w:r>
        <w:t xml:space="preserve">В случае успешного прохождения проверок экземпляр формуляра «Сведения о денежном обязательстве» становится доступным для отправки «На согласование». В случае неуспешного прохождения контролей отправка на согласование </w:t>
      </w:r>
      <w:r>
        <w:t xml:space="preserve">экземпляра </w:t>
      </w:r>
      <w:r>
        <w:t xml:space="preserve">формуляра «Сведения о денежном обязательстве» невозможна. В случае положительного результата прохождения автоматизированной проверки экземпляр формуляра «Сведения о денежном обязательстве» проходит процесс согласования и утверждения внутри Клиента.</w:t>
      </w:r>
      <w:r/>
    </w:p>
    <w:p>
      <w:pPr>
        <w:pStyle w:val="986"/>
      </w:pPr>
      <w:r>
        <w:t xml:space="preserve">Прошедший контроли формуляр переходит на согласование и утверждение Клиентом по результатам выполнения операции «Направить н</w:t>
      </w:r>
      <w:r>
        <w:t xml:space="preserve">а согласование». Согласованный формуляр переходит на утверждение руководителю Клиента. Если этап согласования был пропущен, формуляр «Сведения о денежном обязательстве» сразу переходит на утверждение руководителем Клиента для выполнения следующих операций:</w:t>
      </w:r>
      <w:r/>
    </w:p>
    <w:p>
      <w:pPr>
        <w:pStyle w:val="976"/>
      </w:pPr>
      <w:r>
        <w:t xml:space="preserve">«Утвердить», при этом выполняется подписание ЭП экземпляра формуляра утверждающим;</w:t>
      </w:r>
      <w:r/>
    </w:p>
    <w:p>
      <w:pPr>
        <w:pStyle w:val="976"/>
      </w:pPr>
      <w:r>
        <w:t xml:space="preserve">«Отправить на доработку», при этом экземпляр формуляра «Сведения о денежном обязательстве» переходит на статус «Требует доработки».</w:t>
      </w:r>
      <w:r/>
    </w:p>
    <w:p>
      <w:pPr>
        <w:pStyle w:val="985"/>
      </w:pPr>
      <w:r>
        <w:t xml:space="preserve">При утверждении экземпляра формуляра руководителем Клиента выполняется автоматическая отправка экземпляра формуляра «Св</w:t>
      </w:r>
      <w:r>
        <w:t xml:space="preserve">едения о денежном обязательстве» в ТОФК. В результате выполнения операции согласованный экземпляр формуляра «Сведения о денежном обязательстве» отправляется в ТОФК: переходит на статус «На согласовании ФК» и происходит изменение цвета фонарной группы «ФК».</w:t>
      </w:r>
      <w:r/>
    </w:p>
    <w:p>
      <w:pPr>
        <w:pStyle w:val="985"/>
      </w:pPr>
      <w:r>
        <w:t xml:space="preserve">При формировании формуляра «Сведения о денежном обязательстве» во внешней системе Клиентом осуществляется формирование, согласование, утверждение и передача в Компонент ДО ПУР ЭБ формуляра «Сведения о денежном обязательстве» в формате XML (ТФФ).</w:t>
      </w:r>
      <w:r/>
    </w:p>
    <w:p>
      <w:pPr>
        <w:pStyle w:val="985"/>
      </w:pPr>
      <w:r>
        <w:t xml:space="preserve">В ПУР ЭБ осуществляется проверка ЭП пользователя, которой подписаны сформированные во внешней системе организации формуляры «Сведе</w:t>
      </w:r>
      <w:r>
        <w:t xml:space="preserve">ния о денежном обязательстве» с использованием сервиса, предоставляемого ПОЮЗД. Посредствам сервиса ПОИБ выполняется определение пользователя по ЭП, которой подписаны переданные из внешней ИС формуляры «Сведения о денежном обязательстве». Проверка полномоч</w:t>
      </w:r>
      <w:r>
        <w:t xml:space="preserve">ий пользователя на подписание документа осуществляется путем проверки наличия текущего пользователя в списке всех пользователей текущей организации, полученном через вызов сервиса «Подбор исполнителей», у которых имеются полномочия на подписание документа.</w:t>
      </w:r>
      <w:r/>
    </w:p>
    <w:p>
      <w:pPr>
        <w:pStyle w:val="985"/>
      </w:pPr>
      <w:r>
        <w:t xml:space="preserve">Полученные из внешней ИС формуляры «Сведения о денежном обязательстве» проверяются на соответствие XSD-схеме и преобразуются во внутренний формат интеграционного </w:t>
      </w:r>
      <w:r>
        <w:rPr>
          <w:lang w:val="en-US"/>
        </w:rPr>
        <w:t xml:space="preserve">XML</w:t>
      </w:r>
      <w:r>
        <w:t xml:space="preserve"> с последующим созда</w:t>
      </w:r>
      <w:r>
        <w:t xml:space="preserve">нием экземпляра формуляра «Сведения о денежном обязательстве» в ПУР ЭБ для проведения их проверки и визуального контроля пользователями ТОФК в соответствии с ранее реализованной функциональностью. Исходный подписанный ЭП файл прикладывается как вложение. П</w:t>
      </w:r>
      <w:r>
        <w:t xml:space="preserve">оследующая обработка экземпляра формуляра «Сведения о денежном обязательстве» осуществляется в ПУР ЭБ на уровне ТОФК. Результат постановки на учет ДО передается во внешние системы с использованием штатных механизмов, предусмотренных функциональностью ЕСМВ.</w:t>
      </w:r>
      <w:r/>
    </w:p>
    <w:p>
      <w:pPr>
        <w:pStyle w:val="985"/>
      </w:pPr>
      <w:r>
        <w:t xml:space="preserve">При взаимодействии с ЕИС формирование, согласование и утверждение формуляра «Сведения о денежном обязательстве» осуществляется в ЛК Клиента в ЕИС с последующей передачей утвержденного формуляра в Компонент ДО ПУР ЭБ.</w:t>
      </w:r>
      <w:r/>
    </w:p>
    <w:p>
      <w:pPr>
        <w:pStyle w:val="985"/>
      </w:pPr>
      <w:r>
        <w:t xml:space="preserve">Прием документа «Сведения о денежном обязательстве» из </w:t>
      </w:r>
      <w:r>
        <w:rPr>
          <w:rStyle w:val="994"/>
          <w:i w:val="0"/>
        </w:rPr>
        <w:t xml:space="preserve">ЕИС</w:t>
      </w:r>
      <w:r>
        <w:t xml:space="preserve"> в ПУР ЭБ осуществляется автоматическ</w:t>
      </w:r>
      <w:r>
        <w:t xml:space="preserve">и посредством сервиса ЕСМВ в формате XML (ТФФ) с последующим выполнением автоматических форматно-логических контролей. Если контроли не пройдены – формируется Протокол и направляется в ЕИС. Если контроли пройдены успешно – документ сохраняется в ПУР ЭБ и о</w:t>
      </w:r>
      <w:r>
        <w:t xml:space="preserve">тображается в ЛК ТОФК для проведения визуального контроля и постановки на учет ДО. Обработка документа на стороне ТОФК выполняется в рамках бизнес-процесса «Обработка документа «Сведения о денежном обязательстве» для постановки на учет ДО на стороне ТОФК».</w:t>
      </w:r>
      <w:r/>
    </w:p>
    <w:p>
      <w:pPr>
        <w:pStyle w:val="985"/>
      </w:pPr>
      <w:r>
        <w:t xml:space="preserve">Для учета операций по переданным полномочиям получателя бюджетных средств (</w:t>
      </w:r>
      <w:r>
        <w:t xml:space="preserve">л/с</w:t>
      </w:r>
      <w:r>
        <w:t xml:space="preserve"> с кодом 14) формирование, согласование, утверждение формуляра «Сведения о денежном обязательстве» </w:t>
      </w:r>
      <w:r>
        <w:t xml:space="preserve">осуществляется организациями, принявшими бюджетные полномочия получателя бюджетных средств (далее – организации, принявшие полномочия), для дальнейшей постановки на учет на ЛС, путем выбора в формуляре «Сведения о бюджетном обязательстве» соответствующего </w:t>
      </w:r>
      <w:r>
        <w:t xml:space="preserve">л/с</w:t>
      </w:r>
      <w:r>
        <w:t xml:space="preserve"> с кодом 14.</w:t>
      </w:r>
      <w:r/>
    </w:p>
    <w:p>
      <w:pPr>
        <w:pStyle w:val="985"/>
      </w:pPr>
      <w:r>
        <w:t xml:space="preserve">Для формуляра «Сведения о денежном обязательстве» в статусах «На сог</w:t>
      </w:r>
      <w:r>
        <w:t xml:space="preserve">ласовании», «На утверждении», «Утвержден» реализована возможность отзыва (функция «Отозвать»), по результатам которого осуществляется присвоение статуса «Отозван». Отзыв документов Клиентом возможен только для документов, сформированных Клиентами в ПУР ЭБ.</w:t>
      </w:r>
      <w:r/>
    </w:p>
    <w:p>
      <w:pPr>
        <w:pStyle w:val="985"/>
      </w:pPr>
      <w:r>
        <w:t xml:space="preserve">Отзыв экземпляра формуляра осуществляется посредством выделения нужного экземпляра формуляра на списковой форме и нажатия кнопки «Отозвать» на панели инструментов с обязательным указанием причины отзыва. Причина отзыва записывается в рекв</w:t>
      </w:r>
      <w:r>
        <w:t xml:space="preserve">изит «Причина отзыва» на визуальной форме экземпляра формуляра в раздел «Основная информация». Реквизит «Причина отзыва» становится виден, когда документ отзывается пользователем Клиента (т.е. переходит в статус «Отозван») и не доступен для редактирования.</w:t>
      </w:r>
      <w:r/>
    </w:p>
    <w:p>
      <w:pPr>
        <w:pStyle w:val="985"/>
      </w:pPr>
      <w:r>
        <w:t xml:space="preserve">Для формуляра на статусе «На согласовании» отзыв осуществляетс</w:t>
      </w:r>
      <w:r>
        <w:t xml:space="preserve">я пользователем Клиента с ролью Исполнителя, на статусе «На утверждении» - пользователем Клиента с ролью исполнителя (при условии пропуска этапа согласования), пользователем с ролью Согласующий. Отозванный экземпляр формуляра переходит на статус «Отозван».</w:t>
      </w:r>
      <w:r/>
    </w:p>
    <w:p>
      <w:pPr>
        <w:pStyle w:val="985"/>
      </w:pPr>
      <w:r>
        <w:t xml:space="preserve">Пользователь Клиента с ролью Исполнителя может взять документ в работу посредством выделения экземпляра формуляра на списковой форме и нажатия на </w:t>
      </w:r>
      <w:r>
        <w:t xml:space="preserve">кнопку «</w:t>
      </w:r>
      <w:r>
        <w:t xml:space="preserve">Взять в работу» на панели инструментов. После этого экземпляр формуляра меняет статус на «Новый» и становится доступным для редактирования. Реквизит «Причина отзыва» зачищается и не отображается на визуальной форме.</w:t>
      </w:r>
      <w:r/>
    </w:p>
    <w:p>
      <w:pPr>
        <w:pStyle w:val="985"/>
      </w:pPr>
      <w:r>
        <w:t xml:space="preserve">Кнопка «Взять в работу» отображается при выделении документов на списковой форме на статусе «Отозван», которые находятся в фильтр-папках «Все документы» и «Отозванные» (отображаются только для Клиентов).</w:t>
      </w:r>
      <w:r/>
    </w:p>
    <w:p>
      <w:pPr>
        <w:pStyle w:val="986"/>
      </w:pPr>
      <w:r>
        <w:t xml:space="preserve">Для формуляра «Сведения о денежном обязательстве» на статусе «Утвержден» (экземпляр формуляра утвержд</w:t>
      </w:r>
      <w:r>
        <w:t xml:space="preserve">ен на стороне Клиента), по которому связанный экземпляр формуляра «Решение о регистрации» еще не обработан ТОФК (находится на статусе «Новый», «На согласовании», «На утверждении»), отзыв осуществляется пользователем Клиента с ролью Утверждающего, при этом:</w:t>
      </w:r>
      <w:r/>
    </w:p>
    <w:p>
      <w:pPr>
        <w:pStyle w:val="976"/>
      </w:pPr>
      <w:r>
        <w:t xml:space="preserve">отозванный экземпляр формуляра переходит на статус «Отозван» и отображается в фильтр-папках «Все документы» и «Отозванные» (для Клиентов и для сотрудников ФК);</w:t>
      </w:r>
      <w:r/>
    </w:p>
    <w:p>
      <w:pPr>
        <w:pStyle w:val="976"/>
      </w:pPr>
      <w:r>
        <w:t xml:space="preserve">на списковой форме индикатор фонарной группы «ФК» меняет цвет с желтого на серый;</w:t>
      </w:r>
      <w:r/>
    </w:p>
    <w:p>
      <w:pPr>
        <w:pStyle w:val="976"/>
      </w:pPr>
      <w:r>
        <w:t xml:space="preserve">экземпляр формуляра «Решение о регистрации» переходит на статус «Архив» и перемещается из фильтр-папки «Требует принятия решения», «Требует согласования решения» или «Требует утверждения решения» в фильтр-папку «Архив»;</w:t>
      </w:r>
      <w:r/>
    </w:p>
    <w:p>
      <w:pPr>
        <w:pStyle w:val="976"/>
      </w:pPr>
      <w:r>
        <w:t xml:space="preserve">нажатие на </w:t>
      </w:r>
      <w:r>
        <w:t xml:space="preserve">кнопку «</w:t>
      </w:r>
      <w:r>
        <w:t xml:space="preserve">Взять в работу» возможно только 1 раз.</w:t>
      </w:r>
      <w:r/>
    </w:p>
    <w:p>
      <w:pPr>
        <w:pStyle w:val="985"/>
      </w:pPr>
      <w:r>
        <w:t xml:space="preserve">В формуляре «Решение о регистрации» не указывается причина отзыва документа пользователем Клиента.</w:t>
      </w:r>
      <w:r/>
    </w:p>
    <w:p>
      <w:pPr>
        <w:pStyle w:val="985"/>
      </w:pPr>
      <w:r>
        <w:t xml:space="preserve">Связанный с формуляром «Решение о регистрации» формуляр «Сведения о денежном обязательстве» перестает отображаться в фильтр-папке «Требует принятия решения», «Требует согласования решения» или «Требует утверждения решения» в навигации ветки документа.</w:t>
      </w:r>
      <w:r/>
    </w:p>
    <w:p>
      <w:pPr>
        <w:pStyle w:val="985"/>
      </w:pPr>
      <w:r>
        <w:t xml:space="preserve">Пользователь Клиента с ролью Исполнителя может взять документ в работу посредством выделения экземпляра формуляра «Сведения о денежном обязательстве» на списковой форме и нажатия на панели инструментов на </w:t>
      </w:r>
      <w:r>
        <w:t xml:space="preserve">кнопку «</w:t>
      </w:r>
      <w:r>
        <w:t xml:space="preserve">Взять в работу». После этого автоматически ф</w:t>
      </w:r>
      <w:r>
        <w:t xml:space="preserve">ормируется новая версия экземпляра формуляра «Сведения о денежном обязательстве» на статусе «Новый» и формуляр становится доступным для редактирования. Реквизит «Причина отзыва» отображается на визуальной форме прошлой версии формуляра в статусе «Отозван».</w:t>
      </w:r>
      <w:r/>
    </w:p>
    <w:p>
      <w:pPr>
        <w:pStyle w:val="985"/>
      </w:pPr>
      <w:r>
        <w:t xml:space="preserve">При формировании документа в ЛК ПБС ПУР ЭБ пользователь Клиент может понизить уровень контроля на непревышение суммы в поле «В т.ч. подтверждено с</w:t>
      </w:r>
      <w:r>
        <w:t xml:space="preserve">умм перечисленных платежей»</w:t>
      </w:r>
      <w:r>
        <w:t xml:space="preserve"> Сведений о ДО, сформированного для подтверждения поставки товаров</w:t>
      </w:r>
      <w:r>
        <w:t xml:space="preserve">, выполнения работ, оказания услуг по ранее произведенным авансовым платежам, над суммой аванса в поставленном на учет авансом ДО. Работа с контролем осуществляется через действия «Отключение контроля авансового ДО» или «Включение контроля авансового ДО». </w:t>
      </w:r>
      <w:r>
        <w:t xml:space="preserve">При выполнении пользователем действия «Отключение контроля авансового ДО» для выделенного на СФ документа выполняется формирование диалогового окна, в котором указывается комментарий для его отражения в поле «Основание понижения контроля» и устанавливается</w:t>
      </w:r>
      <w:r>
        <w:t xml:space="preserve"> признак «N» в поле «Признак контроля». При выполнении пользователем действия «Включение контроля авансового ДО» для выделенного на СФ документа выполняется очистка поля «Основание понижения контроля» и устанавливается признак «Y» в поле «Признак контроля»</w:t>
      </w:r>
      <w:r>
        <w:t xml:space="preserve">.</w:t>
      </w:r>
      <w:r/>
    </w:p>
    <w:p>
      <w:pPr>
        <w:pStyle w:val="985"/>
      </w:pPr>
      <w:r>
        <w:t xml:space="preserve">Для всех документов осуществляется автоматическое присвоение уровня риска в соответствии со значением в родительском документе</w:t>
      </w:r>
      <w:r>
        <w:t xml:space="preserve">.</w:t>
      </w:r>
      <w:r/>
    </w:p>
    <w:p>
      <w:pPr>
        <w:pStyle w:val="985"/>
      </w:pPr>
      <w:r>
        <w:t xml:space="preserve">Информационный обмен между ПУР ЭБ и СУЭ ФК осуществляется посредством веб-сервиса путем обмена XML-сообщениями между взаимодействующими системами не реже, чем раз в сутки. Инициатором обмена выступает ПУР ЭБ, выполняющая вызов веб-сервиса.</w:t>
      </w:r>
      <w:r/>
    </w:p>
    <w:p>
      <w:pPr>
        <w:pStyle w:val="985"/>
      </w:pPr>
      <w:r>
        <w:t xml:space="preserve">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системе.</w:t>
      </w:r>
      <w:r/>
    </w:p>
    <w:p>
      <w:pPr>
        <w:pStyle w:val="985"/>
      </w:pPr>
      <w:r>
        <w:t xml:space="preserve">Система-отправитель формирует запрос, содержащий пакет данных</w:t>
      </w:r>
      <w:r>
        <w:t xml:space="preserve">,</w:t>
      </w:r>
      <w:r>
        <w:t xml:space="preserve"> и осуществляет вызов веб-сервиса. В случае успешной </w:t>
      </w:r>
      <w:r>
        <w:rPr>
          <w:rStyle w:val="1220"/>
        </w:rPr>
        <w:t xml:space="preserve">валидации</w:t>
      </w:r>
      <w:r>
        <w:t xml:space="preserve"> (сравнения с эталонной схемой) запроса система-получатель передает запрос целевому процессу обработки, и веб-сервис системы-получателя в синхронном режиме возвращает ответ о приёме информационного пакета.</w:t>
      </w:r>
      <w:r/>
    </w:p>
    <w:p>
      <w:pPr>
        <w:pStyle w:val="985"/>
      </w:pPr>
      <w:r>
        <w:t xml:space="preserve">В случае недоступности сервиса системы-получателя в систему-отправитель возвращается результат с кодом 500. При этом должна выполняться повторная отправка пакета от системы-отправителя с периодичностью 1 раз в 20 минут в течение 3 часов.</w:t>
      </w:r>
      <w:r/>
    </w:p>
    <w:p>
      <w:pPr>
        <w:pStyle w:val="985"/>
      </w:pPr>
      <w:r>
        <w:t xml:space="preserve">В случае </w:t>
      </w:r>
      <w:r>
        <w:t xml:space="preserve">получения системой-отправителем от системы-получателя результата с кодом 200 и сообщения об ошибке разбор ошибки выполняется на стороне системы-отправителя на основании данных запроса. После чего выполняется повторная отправка пакета системой-отправителем.</w:t>
      </w:r>
      <w:r/>
    </w:p>
    <w:p>
      <w:pPr>
        <w:pStyle w:val="962"/>
        <w:ind w:left="851" w:hanging="851"/>
        <w:tabs>
          <w:tab w:val="clear" w:pos="576" w:leader="none"/>
        </w:tabs>
      </w:pPr>
      <w:r/>
      <w:bookmarkStart w:id="52" w:name="_Toc23291932"/>
      <w:r/>
      <w:bookmarkStart w:id="53" w:name="_Toc23291980"/>
      <w:r/>
      <w:bookmarkStart w:id="54" w:name="_Toc26461228"/>
      <w:r/>
      <w:bookmarkStart w:id="55" w:name="_Toc26533918"/>
      <w:r/>
      <w:bookmarkStart w:id="56" w:name="_Toc23291933"/>
      <w:r/>
      <w:bookmarkStart w:id="57" w:name="_Toc23291981"/>
      <w:r/>
      <w:bookmarkStart w:id="58" w:name="_Toc26461229"/>
      <w:r/>
      <w:bookmarkStart w:id="59" w:name="_Toc26533919"/>
      <w:r/>
      <w:bookmarkStart w:id="60" w:name="_Toc23291934"/>
      <w:r/>
      <w:bookmarkStart w:id="61" w:name="_Toc23291982"/>
      <w:r/>
      <w:bookmarkStart w:id="62" w:name="_Toc26461230"/>
      <w:r/>
      <w:bookmarkStart w:id="63" w:name="_Toc26533920"/>
      <w:r/>
      <w:bookmarkStart w:id="64" w:name="_Toc23291935"/>
      <w:r/>
      <w:bookmarkStart w:id="65" w:name="_Toc23291983"/>
      <w:r/>
      <w:bookmarkStart w:id="66" w:name="_Toc26461231"/>
      <w:r/>
      <w:bookmarkStart w:id="67" w:name="_Toc26533921"/>
      <w:r/>
      <w:bookmarkStart w:id="68" w:name="_Toc23291936"/>
      <w:r/>
      <w:bookmarkStart w:id="69" w:name="_Toc23291984"/>
      <w:r/>
      <w:bookmarkStart w:id="70" w:name="_Toc26461232"/>
      <w:r/>
      <w:bookmarkStart w:id="71" w:name="_Toc26533922"/>
      <w:r/>
      <w:bookmarkStart w:id="72" w:name="_Toc23291937"/>
      <w:r/>
      <w:bookmarkStart w:id="73" w:name="_Toc23291985"/>
      <w:r/>
      <w:bookmarkStart w:id="74" w:name="_Toc26461233"/>
      <w:r/>
      <w:bookmarkStart w:id="75" w:name="_Toc26533923"/>
      <w:r/>
      <w:bookmarkStart w:id="76" w:name="_Toc23291938"/>
      <w:r/>
      <w:bookmarkStart w:id="77" w:name="_Toc23291986"/>
      <w:r/>
      <w:bookmarkStart w:id="78" w:name="_Toc26461234"/>
      <w:r/>
      <w:bookmarkStart w:id="79" w:name="_Toc26533924"/>
      <w:r/>
      <w:bookmarkStart w:id="80" w:name="_Toc23291939"/>
      <w:r/>
      <w:bookmarkStart w:id="81" w:name="_Toc23291987"/>
      <w:r/>
      <w:bookmarkStart w:id="82" w:name="_Toc26461235"/>
      <w:r/>
      <w:bookmarkStart w:id="83" w:name="_Toc26533925"/>
      <w:r/>
      <w:bookmarkStart w:id="84" w:name="_Toc23291940"/>
      <w:r/>
      <w:bookmarkStart w:id="85" w:name="_Toc23291988"/>
      <w:r/>
      <w:bookmarkStart w:id="86" w:name="_Toc26461236"/>
      <w:r/>
      <w:bookmarkStart w:id="87" w:name="_Toc26533926"/>
      <w:r/>
      <w:bookmarkStart w:id="88" w:name="_Toc23291941"/>
      <w:r/>
      <w:bookmarkStart w:id="89" w:name="_Toc23291989"/>
      <w:r/>
      <w:bookmarkStart w:id="90" w:name="_Toc26461237"/>
      <w:r/>
      <w:bookmarkStart w:id="91" w:name="_Toc26533927"/>
      <w:r/>
      <w:bookmarkStart w:id="92" w:name="_Toc23291942"/>
      <w:r/>
      <w:bookmarkStart w:id="93" w:name="_Toc23291990"/>
      <w:r/>
      <w:bookmarkStart w:id="94" w:name="_Toc26461238"/>
      <w:r/>
      <w:bookmarkStart w:id="95" w:name="_Toc26533928"/>
      <w:r/>
      <w:bookmarkStart w:id="96" w:name="_Toc23291943"/>
      <w:r/>
      <w:bookmarkStart w:id="97" w:name="_Toc23291991"/>
      <w:r/>
      <w:bookmarkStart w:id="98" w:name="_Toc26461239"/>
      <w:r/>
      <w:bookmarkStart w:id="99" w:name="_Toc26533929"/>
      <w:r/>
      <w:bookmarkStart w:id="100" w:name="_Toc23291944"/>
      <w:r/>
      <w:bookmarkStart w:id="101" w:name="_Toc23291992"/>
      <w:r/>
      <w:bookmarkStart w:id="102" w:name="_Toc26461240"/>
      <w:r/>
      <w:bookmarkStart w:id="103" w:name="_Toc26533930"/>
      <w:r/>
      <w:bookmarkStart w:id="104" w:name="_Toc23291945"/>
      <w:r/>
      <w:bookmarkStart w:id="105" w:name="_Toc23291993"/>
      <w:r/>
      <w:bookmarkStart w:id="106" w:name="_Toc26461241"/>
      <w:r/>
      <w:bookmarkStart w:id="107" w:name="_Toc23291946"/>
      <w:r/>
      <w:bookmarkStart w:id="108" w:name="_Toc23291994"/>
      <w:r/>
      <w:bookmarkStart w:id="109" w:name="_Toc26461242"/>
      <w:r/>
      <w:bookmarkStart w:id="110" w:name="_Toc26533932"/>
      <w:r/>
      <w:bookmarkStart w:id="111" w:name="_Toc23291947"/>
      <w:r/>
      <w:bookmarkStart w:id="112" w:name="_Toc23291995"/>
      <w:r/>
      <w:bookmarkStart w:id="113" w:name="_Toc26461243"/>
      <w:r/>
      <w:bookmarkStart w:id="114" w:name="_Toc26533933"/>
      <w:r/>
      <w:bookmarkStart w:id="115" w:name="_Toc23291948"/>
      <w:r/>
      <w:bookmarkStart w:id="116" w:name="_Toc23291996"/>
      <w:r/>
      <w:bookmarkStart w:id="117" w:name="_Toc26461244"/>
      <w:r/>
      <w:bookmarkStart w:id="118" w:name="_Toc26533934"/>
      <w:r/>
      <w:bookmarkStart w:id="119" w:name="_Toc23291949"/>
      <w:r/>
      <w:bookmarkStart w:id="120" w:name="_Toc23291997"/>
      <w:r/>
      <w:bookmarkStart w:id="121" w:name="_Toc26461245"/>
      <w:r/>
      <w:bookmarkStart w:id="122" w:name="_Toc533087049"/>
      <w:r/>
      <w:bookmarkStart w:id="123" w:name="_Toc40995594"/>
      <w:r/>
      <w:bookmarkStart w:id="124" w:name="_Toc62446035"/>
      <w:r/>
      <w:bookmarkStart w:id="125" w:name="_Toc494874166"/>
      <w:r/>
      <w:bookmarkEnd w:id="49"/>
      <w:r/>
      <w:bookmarkEnd w:id="52"/>
      <w:r/>
      <w:bookmarkEnd w:id="53"/>
      <w:r/>
      <w:bookmarkEnd w:id="54"/>
      <w:r/>
      <w:bookmarkEnd w:id="55"/>
      <w:r/>
      <w:bookmarkEnd w:id="56"/>
      <w:r/>
      <w:bookmarkEnd w:id="57"/>
      <w:r/>
      <w:bookmarkEnd w:id="58"/>
      <w:r/>
      <w:bookmarkEnd w:id="59"/>
      <w:r/>
      <w:bookmarkEnd w:id="60"/>
      <w:r/>
      <w:bookmarkEnd w:id="61"/>
      <w:r/>
      <w:bookmarkEnd w:id="62"/>
      <w:r/>
      <w:bookmarkEnd w:id="63"/>
      <w:r/>
      <w:bookmarkEnd w:id="64"/>
      <w:r/>
      <w:bookmarkEnd w:id="65"/>
      <w:r/>
      <w:bookmarkEnd w:id="66"/>
      <w:r/>
      <w:bookmarkEnd w:id="67"/>
      <w:r/>
      <w:bookmarkEnd w:id="68"/>
      <w:r/>
      <w:bookmarkEnd w:id="69"/>
      <w:r/>
      <w:bookmarkEnd w:id="70"/>
      <w:r/>
      <w:bookmarkEnd w:id="71"/>
      <w:r/>
      <w:bookmarkEnd w:id="72"/>
      <w:r/>
      <w:bookmarkEnd w:id="73"/>
      <w:r/>
      <w:bookmarkEnd w:id="74"/>
      <w:r/>
      <w:bookmarkEnd w:id="75"/>
      <w:r/>
      <w:bookmarkEnd w:id="76"/>
      <w:r/>
      <w:bookmarkEnd w:id="77"/>
      <w:r/>
      <w:bookmarkEnd w:id="78"/>
      <w:r/>
      <w:bookmarkEnd w:id="79"/>
      <w:r/>
      <w:bookmarkEnd w:id="80"/>
      <w:r/>
      <w:bookmarkEnd w:id="81"/>
      <w:r/>
      <w:bookmarkEnd w:id="82"/>
      <w:r/>
      <w:bookmarkEnd w:id="83"/>
      <w:r/>
      <w:bookmarkEnd w:id="84"/>
      <w:r/>
      <w:bookmarkEnd w:id="85"/>
      <w:r/>
      <w:bookmarkEnd w:id="86"/>
      <w:r/>
      <w:bookmarkEnd w:id="87"/>
      <w:r/>
      <w:bookmarkEnd w:id="88"/>
      <w:r/>
      <w:bookmarkEnd w:id="89"/>
      <w:r/>
      <w:bookmarkEnd w:id="90"/>
      <w:r/>
      <w:bookmarkEnd w:id="91"/>
      <w:r/>
      <w:bookmarkEnd w:id="92"/>
      <w:r/>
      <w:bookmarkEnd w:id="93"/>
      <w:r/>
      <w:bookmarkEnd w:id="94"/>
      <w:r/>
      <w:bookmarkEnd w:id="95"/>
      <w:r/>
      <w:bookmarkEnd w:id="96"/>
      <w:r/>
      <w:bookmarkEnd w:id="97"/>
      <w:r/>
      <w:bookmarkEnd w:id="98"/>
      <w:r/>
      <w:bookmarkEnd w:id="99"/>
      <w:r/>
      <w:bookmarkEnd w:id="100"/>
      <w:r/>
      <w:bookmarkEnd w:id="101"/>
      <w:r/>
      <w:bookmarkEnd w:id="102"/>
      <w:r/>
      <w:bookmarkEnd w:id="103"/>
      <w:r/>
      <w:bookmarkEnd w:id="104"/>
      <w:r/>
      <w:bookmarkEnd w:id="105"/>
      <w:r/>
      <w:bookmarkEnd w:id="106"/>
      <w:r/>
      <w:bookmarkEnd w:id="107"/>
      <w:r/>
      <w:bookmarkEnd w:id="108"/>
      <w:r/>
      <w:bookmarkEnd w:id="109"/>
      <w:r/>
      <w:bookmarkEnd w:id="110"/>
      <w:r/>
      <w:bookmarkEnd w:id="111"/>
      <w:r/>
      <w:bookmarkEnd w:id="112"/>
      <w:r/>
      <w:bookmarkEnd w:id="113"/>
      <w:r/>
      <w:bookmarkEnd w:id="114"/>
      <w:r/>
      <w:bookmarkEnd w:id="115"/>
      <w:r/>
      <w:bookmarkEnd w:id="116"/>
      <w:r/>
      <w:bookmarkEnd w:id="117"/>
      <w:r/>
      <w:bookmarkEnd w:id="118"/>
      <w:r/>
      <w:bookmarkEnd w:id="119"/>
      <w:r/>
      <w:bookmarkEnd w:id="120"/>
      <w:r/>
      <w:bookmarkEnd w:id="121"/>
      <w:r>
        <w:t xml:space="preserve">Бизнес-процесс «Постановка на учет ДО и отражение ДО на ЛС»</w:t>
      </w:r>
      <w:bookmarkEnd w:id="122"/>
      <w:r/>
      <w:bookmarkEnd w:id="123"/>
      <w:r/>
      <w:bookmarkEnd w:id="124"/>
      <w:r/>
      <w:r/>
    </w:p>
    <w:p>
      <w:pPr>
        <w:pStyle w:val="985"/>
      </w:pPr>
      <w:r>
        <w:t xml:space="preserve">В рамках бизнес-процесса «Постановка на учет ДО </w:t>
      </w:r>
      <w:r>
        <w:t xml:space="preserve">и отражение ДО на ЛС» осуществляется формирование экземпляра формуляра «Денежное обязательство», присвоение учетного номера ДО и выгрузка из Компонента ДО ПУР ЭБ в ИС АСФК экземпляра формуляра «Сведения о денежном обязательстве» для отражения ДО на ЛС ПБС.</w:t>
      </w:r>
      <w:r/>
    </w:p>
    <w:p>
      <w:pPr>
        <w:pStyle w:val="986"/>
      </w:pPr>
      <w:r>
        <w:t xml:space="preserve">По результатам утверждения формуляра «Решение о регистрации» с положительной резолюцией для согласуемого экземпляра формуляра «Сведения о денежном обязательстве»:</w:t>
      </w:r>
      <w:r/>
    </w:p>
    <w:p>
      <w:pPr>
        <w:pStyle w:val="976"/>
      </w:pPr>
      <w:r>
        <w:t xml:space="preserve">в Перечне ДО формируется запись с присвоением Уникального реестрового номера ДО;</w:t>
      </w:r>
      <w:r/>
    </w:p>
    <w:p>
      <w:pPr>
        <w:pStyle w:val="976"/>
      </w:pPr>
      <w:r>
        <w:t xml:space="preserve">выполняется автоматическая операция «Отправка в АСФК».</w:t>
      </w:r>
      <w:r/>
    </w:p>
    <w:p>
      <w:pPr>
        <w:pStyle w:val="986"/>
      </w:pPr>
      <w:r>
        <w:t xml:space="preserve">Присвоенный учетный номер денежного обязательства имеет следующую структуру:</w:t>
      </w:r>
      <w:r/>
    </w:p>
    <w:p>
      <w:pPr>
        <w:pStyle w:val="1147"/>
        <w:numPr>
          <w:ilvl w:val="0"/>
          <w:numId w:val="130"/>
        </w:numPr>
      </w:pPr>
      <w:r>
        <w:t xml:space="preserve">Для денежного обязательства, поставленного на учет до 01.08.2019 размерность номера, составляет 22 разряда:</w:t>
      </w:r>
      <w:r/>
    </w:p>
    <w:p>
      <w:pPr>
        <w:pStyle w:val="977"/>
      </w:pPr>
      <w:r>
        <w:t xml:space="preserve">с 1 по 19 разряд – учетный номер соответствующего бюджетного обязательства;</w:t>
      </w:r>
      <w:r/>
    </w:p>
    <w:p>
      <w:pPr>
        <w:pStyle w:val="977"/>
      </w:pPr>
      <w:r>
        <w:t xml:space="preserve">с 20 по 22 разряд – порядковый номер денежного обязательства, присваиваемый органом Федерального казначейства последовательно в рамках одного календарного года по каждому получателю средств федерального бюджета.</w:t>
      </w:r>
      <w:r/>
    </w:p>
    <w:p>
      <w:pPr>
        <w:pStyle w:val="1147"/>
      </w:pPr>
      <w:r>
        <w:t xml:space="preserve">Для денежного обязательства, поставленного на учет после 01.08.2019 размерность номера, составляет 25 разрядов:</w:t>
      </w:r>
      <w:r/>
    </w:p>
    <w:p>
      <w:pPr>
        <w:pStyle w:val="977"/>
      </w:pPr>
      <w:r>
        <w:t xml:space="preserve">с 1 по 19 разряд – учетный номер соответствующего бюджетного обязательства;</w:t>
      </w:r>
      <w:r/>
    </w:p>
    <w:p>
      <w:pPr>
        <w:pStyle w:val="977"/>
      </w:pPr>
      <w:r>
        <w:t xml:space="preserve">с 20 по 25 разряд – порядковый номер денежного обязательства, присваиваемый органом Федерального казначейства последовательно в рамках одного календарного года по каждому получателю средств федерального бюджета.</w:t>
      </w:r>
      <w:r/>
    </w:p>
    <w:p>
      <w:pPr>
        <w:pStyle w:val="986"/>
      </w:pPr>
      <w:r>
        <w:t xml:space="preserve">Над экземпляром формуляра «Денежное обязательство» предполагается автоматическое выполнение следующих типовых операций:</w:t>
      </w:r>
      <w:r/>
    </w:p>
    <w:p>
      <w:pPr>
        <w:pStyle w:val="976"/>
      </w:pPr>
      <w:r>
        <w:t xml:space="preserve">включение информации о ДО в Перечень ДО;</w:t>
      </w:r>
      <w:r/>
    </w:p>
    <w:p>
      <w:pPr>
        <w:pStyle w:val="976"/>
      </w:pPr>
      <w:r>
        <w:t xml:space="preserve">актуализация ДО в Перечне ДО.</w:t>
      </w:r>
      <w:r/>
    </w:p>
    <w:p>
      <w:pPr>
        <w:pStyle w:val="985"/>
      </w:pPr>
      <w:r>
        <w:t xml:space="preserve">В рамках выполнения операции п</w:t>
      </w:r>
      <w:r>
        <w:t xml:space="preserve">о включению информации о ДО в Перечень ДО осуществляется формирование экземпляра формуляра «Денежное обязательство» на статусе «Условно включена» и присвоение учетного номера ДО. При этом записи в Перечне ДО на статусе «Условно включена» доступны только в </w:t>
      </w:r>
      <w:r>
        <w:t xml:space="preserve">ЛК</w:t>
      </w:r>
      <w:r>
        <w:t xml:space="preserve"> ТОФК и не включаются в отчетность.</w:t>
      </w:r>
      <w:r/>
    </w:p>
    <w:p>
      <w:pPr>
        <w:pStyle w:val="985"/>
      </w:pPr>
      <w:r>
        <w:t xml:space="preserve">Если экземпляр формуляра «Сведени</w:t>
      </w:r>
      <w:r>
        <w:t xml:space="preserve">я</w:t>
      </w:r>
      <w:r>
        <w:t xml:space="preserve"> о денежном обязательстве» не проходит контроль, то запись в Перечне ДО со статуса «Условно включена» переводится на статус «Архив», формируется формуляр «Протокол» с указанием причины отказа, который после утверждения в </w:t>
      </w:r>
      <w:r>
        <w:t xml:space="preserve">ЛК</w:t>
      </w:r>
      <w:r>
        <w:t xml:space="preserve"> ТОФК отображается в </w:t>
      </w:r>
      <w:r>
        <w:t xml:space="preserve">ЛК</w:t>
      </w:r>
      <w:r>
        <w:t xml:space="preserve"> ПБС с отражением результатов в фонарной группе.</w:t>
      </w:r>
      <w:r/>
    </w:p>
    <w:p>
      <w:pPr>
        <w:pStyle w:val="985"/>
      </w:pPr>
      <w:r>
        <w:t xml:space="preserve">Если экземпляр формуляра «Сведени</w:t>
      </w:r>
      <w:r>
        <w:t xml:space="preserve">я</w:t>
      </w:r>
      <w:r>
        <w:t xml:space="preserve"> о денежном обязательстве» проходит контроль, то запись в Перечне ДО со статуса «Условно включена» переводится на статус «Актуален», формируется формуляр «Извещение о постановке на учет</w:t>
      </w:r>
      <w:r>
        <w:t xml:space="preserve"> </w:t>
      </w:r>
      <w:r>
        <w:t xml:space="preserve">ДО», который после утверждения в </w:t>
      </w:r>
      <w:r>
        <w:t xml:space="preserve">ЛК</w:t>
      </w:r>
      <w:r>
        <w:t xml:space="preserve"> ТОФК отображается в </w:t>
      </w:r>
      <w:r>
        <w:t xml:space="preserve">ЛК</w:t>
      </w:r>
      <w:r>
        <w:t xml:space="preserve"> ПБС с отражением результатов в фонарной группе.</w:t>
      </w:r>
      <w:r/>
    </w:p>
    <w:p>
      <w:pPr>
        <w:pStyle w:val="986"/>
      </w:pPr>
      <w:r>
        <w:rPr>
          <w:szCs w:val="24"/>
        </w:rPr>
        <w:t xml:space="preserve">Для учета операций по переданным полномочиям получателя бюджетных средств (</w:t>
      </w:r>
      <w:r>
        <w:rPr>
          <w:szCs w:val="24"/>
        </w:rPr>
        <w:t xml:space="preserve">л/с</w:t>
      </w:r>
      <w:r>
        <w:rPr>
          <w:szCs w:val="24"/>
        </w:rPr>
        <w:t xml:space="preserve"> с кодом 14) </w:t>
      </w:r>
      <w:r>
        <w:t xml:space="preserve">отражение формуляра «Сведения о денежном обязательстве» в Перечне ДО осуществляется:</w:t>
      </w:r>
      <w:r/>
    </w:p>
    <w:p>
      <w:pPr>
        <w:pStyle w:val="976"/>
        <w:rPr>
          <w:szCs w:val="24"/>
        </w:rPr>
      </w:pPr>
      <w:r>
        <w:t xml:space="preserve">в </w:t>
      </w:r>
      <w:r>
        <w:t xml:space="preserve">ЛК</w:t>
      </w:r>
      <w:r>
        <w:t xml:space="preserve"> организации, принявшей полномочия;</w:t>
      </w:r>
      <w:r/>
    </w:p>
    <w:p>
      <w:pPr>
        <w:pStyle w:val="976"/>
        <w:rPr>
          <w:szCs w:val="24"/>
        </w:rPr>
      </w:pPr>
      <w:r>
        <w:t xml:space="preserve">в </w:t>
      </w:r>
      <w:r>
        <w:t xml:space="preserve">ЛК</w:t>
      </w:r>
      <w:r>
        <w:t xml:space="preserve"> организации, передавшей полномочия</w:t>
      </w:r>
      <w:r>
        <w:rPr>
          <w:szCs w:val="24"/>
        </w:rPr>
        <w:t xml:space="preserve">.</w:t>
      </w:r>
      <w:r/>
    </w:p>
    <w:p>
      <w:pPr>
        <w:pStyle w:val="985"/>
      </w:pPr>
      <w:r>
        <w:t xml:space="preserve">При передаче полномочий Центру компетенций ФК отражение формуляра «Сведения о денежном обязательстве» осуществляется в соответствии с требованиями к справочнику «Центр компетенций».</w:t>
      </w:r>
      <w:r/>
    </w:p>
    <w:p>
      <w:pPr>
        <w:pStyle w:val="985"/>
      </w:pPr>
      <w:r>
        <w:t xml:space="preserve">В ПУР ЭБ реализовано взаимодействие с Модулем учета </w:t>
      </w:r>
      <w:r>
        <w:rPr>
          <w:rStyle w:val="1220"/>
        </w:rPr>
        <w:t xml:space="preserve">ПУиО</w:t>
      </w:r>
      <w:r>
        <w:t xml:space="preserve"> ЭБ по отражению на ЛС и в бухгалтерском учете операций по формуляру «Сведения о денежном обязательстве».</w:t>
      </w:r>
      <w:r/>
    </w:p>
    <w:p>
      <w:pPr>
        <w:pStyle w:val="986"/>
      </w:pPr>
      <w:r>
        <w:t xml:space="preserve">Учет денежных обязательств имеет следующие особенности:</w:t>
      </w:r>
      <w:r/>
    </w:p>
    <w:p>
      <w:pPr>
        <w:pStyle w:val="976"/>
      </w:pPr>
      <w:r>
        <w:t xml:space="preserve">формуляр «Сведения о денежном обязательстве» (первичное и каждое последующее изменение) заполняется актуальными данными обязательства;</w:t>
      </w:r>
      <w:r/>
    </w:p>
    <w:p>
      <w:pPr>
        <w:pStyle w:val="976"/>
      </w:pPr>
      <w:r>
        <w:t xml:space="preserve">отражение на ЛС и в бюджетном учете операций по учету ДО должно осуществляться в строгой последовательности внесения изменений в обязательство.</w:t>
      </w:r>
      <w:r/>
    </w:p>
    <w:p>
      <w:pPr>
        <w:pStyle w:val="986"/>
      </w:pPr>
      <w:r>
        <w:t xml:space="preserve">Процесс взаимодействия ПУР ЭБ с Модулем учета </w:t>
      </w:r>
      <w:r>
        <w:rPr>
          <w:rStyle w:val="1220"/>
        </w:rPr>
        <w:t xml:space="preserve">ПУиО</w:t>
      </w:r>
      <w:r>
        <w:t xml:space="preserve"> ЭБ с целью подбора и формирования записей учета по формуляру «Сведения о денежном обязательстве» осуществляется в следующем порядке:</w:t>
      </w:r>
      <w:r/>
    </w:p>
    <w:p>
      <w:pPr>
        <w:pStyle w:val="1147"/>
        <w:numPr>
          <w:ilvl w:val="0"/>
          <w:numId w:val="93"/>
        </w:numPr>
      </w:pPr>
      <w:r>
        <w:t xml:space="preserve">В ПУР ЭБ осуществляется подготовка информации, необходимой для подбора и формирования записей учета:</w:t>
      </w:r>
      <w:r/>
    </w:p>
    <w:p>
      <w:pPr>
        <w:pStyle w:val="978"/>
      </w:pPr>
      <w:r>
        <w:t xml:space="preserve">выполняется поиск экземпляра формуляра «Сведения о денежном обязательстве» с предыдущим номером изменения;</w:t>
      </w:r>
      <w:r/>
    </w:p>
    <w:p>
      <w:pPr>
        <w:pStyle w:val="978"/>
      </w:pPr>
      <w:r>
        <w:t xml:space="preserve">для экземпляра формуляра «Сведения о денежном обязательстве» с текущим номером изменения осуществляется подготовка данных, необходимых для подбора записей учета.</w:t>
      </w:r>
      <w:r/>
    </w:p>
    <w:p>
      <w:pPr>
        <w:pStyle w:val="1147"/>
      </w:pPr>
      <w:r>
        <w:t xml:space="preserve">В ПУР ЭБ формируется и передается в Модуль учета </w:t>
      </w:r>
      <w:r>
        <w:rPr>
          <w:rStyle w:val="1220"/>
        </w:rPr>
        <w:t xml:space="preserve">ПУиО</w:t>
      </w:r>
      <w:r>
        <w:t xml:space="preserve"> ЭБ запрос, в который включается информация, необходимая для подбора и формирования записей учета.</w:t>
      </w:r>
      <w:r/>
    </w:p>
    <w:p>
      <w:pPr>
        <w:pStyle w:val="1147"/>
      </w:pPr>
      <w:r>
        <w:t xml:space="preserve">В Модул</w:t>
      </w:r>
      <w:r>
        <w:t xml:space="preserve">е</w:t>
      </w:r>
      <w:r>
        <w:t xml:space="preserve"> учета </w:t>
      </w:r>
      <w:r>
        <w:rPr>
          <w:rStyle w:val="1220"/>
        </w:rPr>
        <w:t xml:space="preserve">ПУиО</w:t>
      </w:r>
      <w:r>
        <w:t xml:space="preserve"> ЭБ осуществляется подбор и формирование записей учета в соответствии с установленными для формуляра «Сведения о денежном обязательстве» правилами.</w:t>
      </w:r>
      <w:r/>
    </w:p>
    <w:p>
      <w:pPr>
        <w:pStyle w:val="1147"/>
      </w:pPr>
      <w:r>
        <w:t xml:space="preserve">Из Модуля учета </w:t>
      </w:r>
      <w:r>
        <w:rPr>
          <w:rStyle w:val="1220"/>
        </w:rPr>
        <w:t xml:space="preserve">ПУиО</w:t>
      </w:r>
      <w:r>
        <w:t xml:space="preserve"> ЭБ в ПУР ЭБ передается ответ о результатах выполнения запроса.</w:t>
      </w:r>
      <w:r/>
    </w:p>
    <w:p>
      <w:pPr>
        <w:pStyle w:val="1147"/>
      </w:pPr>
      <w:r>
        <w:t xml:space="preserve">В ПУР ЭБ по результатам обработки ответа из Модуля учета </w:t>
      </w:r>
      <w:r>
        <w:rPr>
          <w:rStyle w:val="1220"/>
        </w:rPr>
        <w:t xml:space="preserve">ПУиО</w:t>
      </w:r>
      <w:r>
        <w:t xml:space="preserve"> ЭБ изменяется состояние фонаря «Отражение на ЛС в ЭБ» для экземпляра формуляра «Сведения о денежном обязательстве» согласно условиям, описанным в таблице </w:t>
      </w:r>
      <w:r>
        <w:fldChar w:fldCharType="begin"/>
      </w:r>
      <w:r>
        <w:instrText xml:space="preserve"> REF _Ref533006744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.</w:t>
      </w:r>
      <w:r/>
    </w:p>
    <w:p>
      <w:pPr>
        <w:pStyle w:val="985"/>
      </w:pPr>
      <w:r>
        <w:t xml:space="preserve">Поиск информации о предыдущем изменении ДО для целей подбора записей учета осуществляется в ПУР ЭБ, т.к. построение бизнес-логики ведения перечня обязательств является задачей указанной функциональной подсистемы ГИИС «Электронный бюджет».</w:t>
      </w:r>
      <w:r/>
    </w:p>
    <w:p>
      <w:pPr>
        <w:pStyle w:val="985"/>
      </w:pPr>
      <w:r>
        <w:t xml:space="preserve">В случае отсутствия в ПУР ЭБ отраженного на ЛС экземпляра формуляра «Сведения о денежном обязательстве» с предыдущим по порядку номером изменения, отражение операций в учете (как в предварительном, так и в окончательном режиме) по экземпляр</w:t>
      </w:r>
      <w:r>
        <w:t xml:space="preserve">у формуляра «Сведения о денежном обязательстве» с текущим номером изменения не откладывается, а осуществляется с учетом информации из формуляра «Сведения о денежном обязательстве» с максимальным из предыдущих номером изменения. В переходный период ведения </w:t>
      </w:r>
      <w:r>
        <w:t xml:space="preserve">л/с</w:t>
      </w:r>
      <w:r>
        <w:t xml:space="preserve"> с кодом 03, 14 в ПУР ЭБ указанная особенность допустима с учетом того, ч</w:t>
      </w:r>
      <w:r>
        <w:t xml:space="preserve">то формуляр «Сведения о денежном обязательстве» (первичное и каждое последующее изменение) содержит актуальные данные обязательства в абсолютных суммах, чем обеспечивается соответствие данных состояния ЛС данным экземпляра с максимальным номером изменения.</w:t>
      </w:r>
      <w:r/>
    </w:p>
    <w:p>
      <w:pPr>
        <w:pStyle w:val="986"/>
      </w:pPr>
      <w:r>
        <w:t xml:space="preserve">Для отражения в учете операций по экземпляру формуляра «Сведения о денежном обязательстве» с текущим номером изменения в ПУР ЭБ подготавливается следующая информация:</w:t>
      </w:r>
      <w:r/>
    </w:p>
    <w:p>
      <w:pPr>
        <w:pStyle w:val="976"/>
      </w:pPr>
      <w:r>
        <w:t xml:space="preserve">значения реквизитов текущего экземпляра формуляра «Сведения о денежном обязательстве», необходимых для подбора записей учета в Модуле учета </w:t>
      </w:r>
      <w:r>
        <w:rPr>
          <w:rStyle w:val="1220"/>
        </w:rPr>
        <w:t xml:space="preserve">ПУиО</w:t>
      </w:r>
      <w:r>
        <w:t xml:space="preserve"> ЭБ, в </w:t>
      </w:r>
      <w:r>
        <w:rPr>
          <w:rStyle w:val="1220"/>
        </w:rPr>
        <w:t xml:space="preserve">т.ч.</w:t>
      </w:r>
      <w:r>
        <w:t xml:space="preserve"> технические поля:</w:t>
      </w:r>
      <w:r/>
    </w:p>
    <w:p>
      <w:pPr>
        <w:pStyle w:val="977"/>
      </w:pPr>
      <w:r>
        <w:t xml:space="preserve">тип БО, учетный номер которого указан в текущем экземпляре формуляра «Сведения о денежном обязательстве»: закупка, прочее;</w:t>
      </w:r>
      <w:r/>
    </w:p>
    <w:p>
      <w:pPr>
        <w:pStyle w:val="977"/>
      </w:pPr>
      <w:r>
        <w:t xml:space="preserve">признак, что текущее изменение является перерегистрацией ДО (экземпляр формуляра «Сведения о денежном обязательстве» является первым в текущем финансовом году изменением ДО, поставленного на учет в прошлые финансовые периоды)</w:t>
      </w:r>
      <w:r>
        <w:t xml:space="preserve">;</w:t>
      </w:r>
      <w:r/>
    </w:p>
    <w:p>
      <w:pPr>
        <w:pStyle w:val="976"/>
      </w:pPr>
      <w:r>
        <w:t xml:space="preserve">уникальный идентификатор (GUID) экземпляра формуляра «Сведения о денежном обязательстве» с предыдущим номером изменения в случае, если для текущего экземпляра формуляра «Сведения о денежном обязательстве» выполняется набор условий:</w:t>
      </w:r>
      <w:r/>
    </w:p>
    <w:p>
      <w:pPr>
        <w:pStyle w:val="977"/>
      </w:pPr>
      <w:r>
        <w:t xml:space="preserve">тип сведений «изменение» (номер изменения отличен от нуля);</w:t>
      </w:r>
      <w:r/>
    </w:p>
    <w:p>
      <w:pPr>
        <w:pStyle w:val="977"/>
      </w:pPr>
      <w:r>
        <w:t xml:space="preserve">не является первым на момент начала использования в ГИИС «Электронный бюджет» функционала формирования записей учета по ДО (поле фонарной группы «Отражение на ЛС в ЭБ» формуляра «Сведения о денежном обязательстве» с предыдущим номером изменения не пусто).</w:t>
      </w:r>
      <w:r/>
    </w:p>
    <w:p>
      <w:pPr>
        <w:pStyle w:val="986"/>
      </w:pPr>
      <w:r>
        <w:t xml:space="preserve">Переходный период ведения </w:t>
      </w:r>
      <w:r>
        <w:t xml:space="preserve">л/с</w:t>
      </w:r>
      <w:r>
        <w:t xml:space="preserve"> с кодом 03, 14 в ПУР ЭБ имеет следующие особенности:</w:t>
      </w:r>
      <w:r/>
    </w:p>
    <w:p>
      <w:pPr>
        <w:pStyle w:val="976"/>
      </w:pPr>
      <w:r>
        <w:t xml:space="preserve">формуляры «Сведения о денежном обязательстве» возникают в ПУР ЭБ из нескольких источников:</w:t>
      </w:r>
      <w:r/>
    </w:p>
    <w:p>
      <w:pPr>
        <w:pStyle w:val="977"/>
      </w:pPr>
      <w:r>
        <w:t xml:space="preserve">создаются/импортируются в личном кабинете Клиента в ПУР ЭБ;</w:t>
      </w:r>
      <w:r/>
    </w:p>
    <w:p>
      <w:pPr>
        <w:pStyle w:val="977"/>
      </w:pPr>
      <w:r>
        <w:t xml:space="preserve">поступают из ИС АСФК в составе Описи операций из ЛС (далее – Опись);</w:t>
      </w:r>
      <w:r/>
    </w:p>
    <w:p>
      <w:pPr>
        <w:pStyle w:val="977"/>
      </w:pPr>
      <w:r>
        <w:t xml:space="preserve">поступают из ИС АСФК в виде одиночных документов</w:t>
      </w:r>
      <w:r>
        <w:t xml:space="preserve">;</w:t>
      </w:r>
      <w:r/>
    </w:p>
    <w:p>
      <w:pPr>
        <w:pStyle w:val="976"/>
      </w:pPr>
      <w:r>
        <w:t xml:space="preserve">поступают из ЕИС, ПФХД</w:t>
      </w:r>
      <w:r>
        <w:t xml:space="preserve">.</w:t>
      </w:r>
      <w:r/>
    </w:p>
    <w:p>
      <w:pPr>
        <w:pStyle w:val="985"/>
      </w:pPr>
      <w:r>
        <w:t xml:space="preserve">В</w:t>
      </w:r>
      <w:r>
        <w:t xml:space="preserve"> переходный период возможна неправильная последовательность обработки в ПУР ЭБ изменений ДО. По экземплярам формуляра «Сведения о денежном обязательстве», поступившим в ПУР ЭБ с задержкой (когда более поздние изменения уже включены в </w:t>
      </w:r>
      <w:r>
        <w:t xml:space="preserve">формуляр «</w:t>
      </w:r>
      <w:r>
        <w:t xml:space="preserve">Перечень ДО</w:t>
      </w:r>
      <w:r>
        <w:t xml:space="preserve">»</w:t>
      </w:r>
      <w:r>
        <w:t xml:space="preserve"> и отражены в учете), формирование записей учета не осуществляется, фонарь «Отражение на ЛС в ЭБ» переходит в состояние «</w:t>
      </w:r>
      <w:r>
        <w:t xml:space="preserve">с</w:t>
      </w:r>
      <w:r>
        <w:t xml:space="preserve">иний» с выводом информации о том, что документ не требует отражения в учете, так как отражена более поздняя версия изменения.</w:t>
      </w:r>
      <w:r/>
    </w:p>
    <w:p>
      <w:pPr>
        <w:pStyle w:val="985"/>
      </w:pPr>
      <w:r>
        <w:t xml:space="preserve">При этом по операциям учета ДО будет обесп</w:t>
      </w:r>
      <w:r>
        <w:t xml:space="preserve">ечено соответствие данных бюджетного учета/данных формы просмотра оперативного состояния ЛС данным первичных документов на даты, следующие после внесения в ДО изменений с максимальным номером. Несоответствие данных бюджетного учета/данных формы просмотра о</w:t>
      </w:r>
      <w:r>
        <w:t xml:space="preserve">перативного состояния ЛС данным первичных документов может иметь место, если изменения по формуляру «Сведения о денежном обязательстве», поступившим в ПУР ЭБ с задержкой, вносились до отчетной даты, а изменения с максимальным номером – после отчетной даты.</w:t>
      </w:r>
      <w:r/>
    </w:p>
    <w:p>
      <w:pPr>
        <w:pStyle w:val="985"/>
      </w:pPr>
      <w:r>
        <w:t xml:space="preserve">Особенности переходного периода </w:t>
      </w:r>
      <w:r>
        <w:t xml:space="preserve">станут неактуальными</w:t>
      </w:r>
      <w:r>
        <w:t xml:space="preserve">, когда ведение </w:t>
      </w:r>
      <w:r>
        <w:t xml:space="preserve">л/с</w:t>
      </w:r>
      <w:r>
        <w:t xml:space="preserve"> с кодом 03, 14 будет осуществляться в ПУР ЭБ и обработка изменений </w:t>
      </w:r>
      <w:r>
        <w:t xml:space="preserve">Д</w:t>
      </w:r>
      <w:r>
        <w:t xml:space="preserve">О в некорректной последовательности будет невозможна.</w:t>
      </w:r>
      <w:r/>
    </w:p>
    <w:p>
      <w:pPr>
        <w:pStyle w:val="986"/>
      </w:pPr>
      <w:r>
        <w:t xml:space="preserve">Формирование записей учета на формуляре «Сведения о денежном обязательстве» осуществляется </w:t>
      </w:r>
      <w:r>
        <w:t xml:space="preserve">в </w:t>
      </w:r>
      <w:r>
        <w:t xml:space="preserve">2 режимах</w:t>
      </w:r>
      <w:r>
        <w:t xml:space="preserve">:</w:t>
      </w:r>
      <w:r/>
    </w:p>
    <w:p>
      <w:pPr>
        <w:pStyle w:val="1147"/>
        <w:numPr>
          <w:ilvl w:val="0"/>
          <w:numId w:val="131"/>
        </w:numPr>
      </w:pPr>
      <w:r>
        <w:t xml:space="preserve">в предварительном режиме – предполагает формирование предварительных проводок</w:t>
      </w:r>
      <w:r>
        <w:t xml:space="preserve"> до поступления в ПУР ЭБ информации о результатах обработки документа в АСФК по лс, не переведенным на обслуживание в ПУР ЭБ, или по результату принятия положительного решения ТОФК о постановке на учет документа по лс, переведенным на обсаживание в ПУР ЭБ;</w:t>
      </w:r>
      <w:r/>
    </w:p>
    <w:p>
      <w:pPr>
        <w:pStyle w:val="1147"/>
      </w:pPr>
      <w:r>
        <w:t xml:space="preserve">в окончательном режиме – предполагает удаление предварительных проводок (при наличии) и формирование окончательных </w:t>
      </w:r>
      <w:r>
        <w:t xml:space="preserve">проводок после поступления в ПУР ЭБ информации о результатах обработки документа в АСФК в случае выполнения условия о наличии в ПУР ЭБ экземпляра Сведений о БО по лс, не переведенному на обслуживание в ПУР ЭБ, с предыдущим по порядку номером изменения, отр</w:t>
      </w:r>
      <w:r>
        <w:t xml:space="preserve">аженного на ЛС в ПУР ЭБ, или по результату утверждения положительного решения ТОФК о постановке на учет документа по лс, переведенным на обсаживание в ПУР ЭБ. Если условие не выполняется, то документ остается в ожидании формирования окончательных проводок.</w:t>
      </w:r>
      <w:r/>
    </w:p>
    <w:p>
      <w:pPr>
        <w:pStyle w:val="985"/>
      </w:pPr>
      <w:r>
        <w:t xml:space="preserve">Передача из ПУР ЭБ в Модуль учета ПУиО ЭБ запроса на формирование записей учета выполняется после проверки условий, опреде</w:t>
      </w:r>
      <w:r>
        <w:t xml:space="preserve">ляющих необходимость отражения в учете операций по экземпляру формуляра «Сведения о денежном обязательстве»: включение в Перечень ДО следующих изменений Денежного обязательства. Если в Перечень ДО не включены следующие изменения, то операция требует отраже</w:t>
      </w:r>
      <w:r>
        <w:t xml:space="preserve">ния в учете – из ПУР ЭБ в Модуль учета ПУиО ЭБ передается запрос на формирование окончательных записей учета. Если в Перечень ДО включены следующие изменения, то операция не требует отражения в учете – запрос из ПУР ЭБ в Модуль учета ПУиО ЭБ не передается.</w:t>
      </w:r>
      <w:r/>
    </w:p>
    <w:p>
      <w:pPr>
        <w:pStyle w:val="985"/>
      </w:pPr>
      <w:r>
        <w:t xml:space="preserve">В случае поступления в ПУР ЭБ отрицательного квитка из ИС АСФК - из ПУР ЭБ в Модуль учета ПУиО ЭБ запрос не передается, записи учета не создаются.</w:t>
      </w:r>
      <w:r/>
    </w:p>
    <w:p>
      <w:pPr>
        <w:pStyle w:val="985"/>
      </w:pPr>
      <w:r>
        <w:t xml:space="preserve">В случае отсутствия в Описи, получаемой посредством Модуля веде</w:t>
      </w:r>
      <w:r>
        <w:t xml:space="preserve">ния ЛС, с типом «изменение» экземпляра формуляра «Сведения о денежном обязательстве», отраженного ранее в учете по результатам обработки Описи с типом «первичная» за ту же дату – экземпляр формуляра «Сведения о денежном обязательстве» переводится в статус </w:t>
      </w:r>
      <w:r>
        <w:t xml:space="preserve">«Отменен» (Canceled) со сменой состояния фонаря «ФК» на красный, из ПУР ЭБ в Модуль учета ПУиО ЭБ передается запрос на сторнирование созданных ранее записей учета с указанием даты сторнирования, равной дате операционного дня, за который сформирована Опись.</w:t>
      </w:r>
      <w:r/>
    </w:p>
    <w:p>
      <w:pPr>
        <w:pStyle w:val="986"/>
      </w:pPr>
      <w:r>
        <w:t xml:space="preserve">Реализована кнопка «Переформировать записи учета», выполняющая на экземпляре формуляра «Сведения о денежном обязательстве» последовательно действия:</w:t>
      </w:r>
      <w:r/>
    </w:p>
    <w:p>
      <w:pPr>
        <w:pStyle w:val="1147"/>
        <w:numPr>
          <w:ilvl w:val="0"/>
          <w:numId w:val="94"/>
        </w:numPr>
      </w:pPr>
      <w:r>
        <w:t xml:space="preserve">Сторнирование существующих записей учета (при необходимости – с учетом состояния фонаря «Отражение на ЛС в ЭБ»).</w:t>
      </w:r>
      <w:r/>
    </w:p>
    <w:p>
      <w:pPr>
        <w:pStyle w:val="1147"/>
      </w:pPr>
      <w:r>
        <w:t xml:space="preserve">Формирование новых записей учета (при необходимости – с учетом состояния фонаря «Отражение на ЛС в АСФК»).</w:t>
      </w:r>
      <w:r/>
    </w:p>
    <w:p>
      <w:pPr>
        <w:pStyle w:val="985"/>
      </w:pPr>
      <w:r>
        <w:t xml:space="preserve">Дата отражения в учете опе</w:t>
      </w:r>
      <w:r>
        <w:t xml:space="preserve">раций по текущему экземпляру формуляра «Сведения о денежном обязательстве», влекущих утрату актуальности данных учета по экземпляру формуляра «Сведения о денежном обязательстве» с предыдущим номером изменения, равна дате отражения операции на ЛС в ИС АСФК.</w:t>
      </w:r>
      <w:r/>
    </w:p>
    <w:p>
      <w:pPr>
        <w:pStyle w:val="985"/>
      </w:pPr>
      <w:r>
        <w:t xml:space="preserve">Описание фонарной группы «Отражение на ЛС в ЭБ» приведено в таблице </w:t>
      </w:r>
      <w:r>
        <w:fldChar w:fldCharType="begin"/>
      </w:r>
      <w:r>
        <w:instrText xml:space="preserve"> REF _Ref533006744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настоящего документа.</w:t>
      </w:r>
      <w:r/>
    </w:p>
    <w:p>
      <w:pPr>
        <w:pStyle w:val="984"/>
        <w:numPr>
          <w:ilvl w:val="0"/>
          <w:numId w:val="26"/>
        </w:numPr>
        <w:ind w:firstLine="284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26" w:name="_Ref533006744"/>
      <w:r/>
      <w:bookmarkStart w:id="127" w:name="_Toc40995611"/>
      <w:r/>
      <w:bookmarkStart w:id="128" w:name="_Toc59804449"/>
      <w:r>
        <w:t xml:space="preserve">3</w:t>
      </w:r>
      <w:bookmarkEnd w:id="126"/>
      <w:r>
        <w:fldChar w:fldCharType="end"/>
      </w:r>
      <w:r>
        <w:t xml:space="preserve">. Описание фонарной группы «Отражение на ЛС в ЭБ» списковой формы формуляра «Сведения о денежном обязательстве»</w:t>
      </w:r>
      <w:bookmarkEnd w:id="127"/>
      <w:r/>
      <w:bookmarkEnd w:id="128"/>
      <w:r/>
      <w:r/>
    </w:p>
    <w:tbl>
      <w:tblPr>
        <w:tblStyle w:val="995"/>
        <w:tblW w:w="4900" w:type="pct"/>
        <w:tblLook w:val="04A0" w:firstRow="1" w:lastRow="0" w:firstColumn="1" w:lastColumn="0" w:noHBand="0" w:noVBand="1"/>
      </w:tblPr>
      <w:tblGrid>
        <w:gridCol w:w="2559"/>
        <w:gridCol w:w="6941"/>
      </w:tblGrid>
      <w:tr>
        <w:trPr>
          <w:trHeight w:val="395"/>
        </w:trPr>
        <w:tc>
          <w:tcPr>
            <w:tcW w:w="945" w:type="pct"/>
            <w:textDirection w:val="lrTb"/>
            <w:noWrap/>
          </w:tcPr>
          <w:p>
            <w:pPr>
              <w:pStyle w:val="997"/>
            </w:pPr>
            <w:r>
              <w:t xml:space="preserve">Состояние (цвет) фонаря</w:t>
            </w:r>
            <w:r/>
          </w:p>
        </w:tc>
        <w:tc>
          <w:tcPr>
            <w:tcW w:w="4055" w:type="pct"/>
            <w:textDirection w:val="lrTb"/>
            <w:noWrap w:val="false"/>
          </w:tcPr>
          <w:p>
            <w:pPr>
              <w:pStyle w:val="997"/>
            </w:pPr>
            <w:r>
              <w:t xml:space="preserve">Условия изменения состояния (цвета) фонаря</w:t>
            </w:r>
            <w:r/>
          </w:p>
        </w:tc>
      </w:tr>
      <w:tr>
        <w:trPr>
          <w:trHeight w:val="529"/>
        </w:trPr>
        <w:tc>
          <w:tcPr>
            <w:tcW w:w="945" w:type="pct"/>
            <w:textDirection w:val="lrTb"/>
            <w:noWrap/>
          </w:tcPr>
          <w:p>
            <w:pPr>
              <w:pStyle w:val="996"/>
            </w:pPr>
            <w:r>
              <w:t xml:space="preserve">Серый</w:t>
            </w:r>
            <w:r/>
          </w:p>
        </w:tc>
        <w:tc>
          <w:tcPr>
            <w:tcW w:w="4055" w:type="pct"/>
            <w:textDirection w:val="lrTb"/>
            <w:noWrap w:val="false"/>
          </w:tcPr>
          <w:p>
            <w:pPr>
              <w:pStyle w:val="999"/>
            </w:pPr>
            <w:r>
              <w:t xml:space="preserve">Запрос на формирование записей учета в Модуль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не отправлялся.</w:t>
            </w:r>
            <w:r/>
          </w:p>
          <w:p>
            <w:pPr>
              <w:pStyle w:val="999"/>
            </w:pPr>
            <w:r>
              <w:t xml:space="preserve">Удаление записей учета или сторнирование записей учета в Модуле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выполнено успешно (от модуля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пришел положительный ответ о результатах выполнения запроса).</w:t>
            </w:r>
            <w:r/>
          </w:p>
        </w:tc>
      </w:tr>
      <w:tr>
        <w:trPr>
          <w:trHeight w:val="525"/>
        </w:trPr>
        <w:tc>
          <w:tcPr>
            <w:tcW w:w="945" w:type="pct"/>
            <w:textDirection w:val="lrTb"/>
            <w:noWrap/>
          </w:tcPr>
          <w:p>
            <w:pPr>
              <w:pStyle w:val="996"/>
            </w:pPr>
            <w:r>
              <w:t xml:space="preserve">Синий</w:t>
            </w:r>
            <w:r/>
          </w:p>
        </w:tc>
        <w:tc>
          <w:tcPr>
            <w:tcW w:w="4055" w:type="pct"/>
            <w:textDirection w:val="lrTb"/>
            <w:noWrap w:val="false"/>
          </w:tcPr>
          <w:p>
            <w:pPr>
              <w:pStyle w:val="996"/>
            </w:pPr>
            <w:r>
              <w:t xml:space="preserve">Формирование записей учета не требуется (в учете отражена более поздняя версия изменения ДО).</w:t>
            </w:r>
            <w:r/>
          </w:p>
        </w:tc>
      </w:tr>
      <w:tr>
        <w:trPr>
          <w:trHeight w:val="516"/>
        </w:trPr>
        <w:tc>
          <w:tcPr>
            <w:tcW w:w="945" w:type="pct"/>
            <w:textDirection w:val="lrTb"/>
            <w:noWrap/>
          </w:tcPr>
          <w:p>
            <w:pPr>
              <w:pStyle w:val="996"/>
            </w:pPr>
            <w:r>
              <w:t xml:space="preserve">Зеленый</w:t>
            </w:r>
            <w:r/>
          </w:p>
        </w:tc>
        <w:tc>
          <w:tcPr>
            <w:tcW w:w="4055" w:type="pct"/>
            <w:textDirection w:val="lrTb"/>
            <w:noWrap w:val="false"/>
          </w:tcPr>
          <w:p>
            <w:pPr>
              <w:pStyle w:val="996"/>
            </w:pPr>
            <w:r>
              <w:t xml:space="preserve">Формирование записей учета в Модуле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выполнено успешно (от модуля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пришел положительный ответ о результатах выполнения запроса).</w:t>
            </w:r>
            <w:r/>
          </w:p>
        </w:tc>
      </w:tr>
      <w:tr>
        <w:trPr>
          <w:trHeight w:val="1196"/>
        </w:trPr>
        <w:tc>
          <w:tcPr>
            <w:tcW w:w="945" w:type="pct"/>
            <w:textDirection w:val="lrTb"/>
            <w:noWrap/>
          </w:tcPr>
          <w:p>
            <w:pPr>
              <w:pStyle w:val="996"/>
              <w:rPr>
                <w:rFonts w:ascii="Arial" w:hAnsi="Arial" w:cs="Arial"/>
                <w:sz w:val="18"/>
                <w:szCs w:val="18"/>
              </w:rPr>
            </w:pPr>
            <w:r>
              <w:t xml:space="preserve">Красный</w:t>
            </w:r>
            <w:r/>
          </w:p>
        </w:tc>
        <w:tc>
          <w:tcPr>
            <w:tcW w:w="4055" w:type="pct"/>
            <w:textDirection w:val="lrTb"/>
            <w:noWrap w:val="false"/>
          </w:tcPr>
          <w:p>
            <w:pPr>
              <w:pStyle w:val="999"/>
              <w:numPr>
                <w:ilvl w:val="0"/>
                <w:numId w:val="92"/>
              </w:numPr>
            </w:pPr>
            <w:r>
              <w:t xml:space="preserve">При попытке формирования записей учета в Модуле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процедура прошла неуспешно (от модуля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пришел отрицательный ответ о результатах выполнения запроса).</w:t>
            </w:r>
            <w:r/>
          </w:p>
          <w:p>
            <w:pPr>
              <w:pStyle w:val="999"/>
            </w:pPr>
            <w:r>
              <w:t xml:space="preserve">При попытке удаления записей учета или сторнирования записей учета в Модуле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процедура прошла неуспешно (от модуля учета </w:t>
            </w:r>
            <w:r>
              <w:rPr>
                <w:rStyle w:val="1220"/>
              </w:rPr>
              <w:t xml:space="preserve">ПУиО</w:t>
            </w:r>
            <w:r>
              <w:t xml:space="preserve"> ЭБ пришел отрицательный ответ о результатах выполнения запроса).</w:t>
            </w:r>
            <w:r/>
          </w:p>
        </w:tc>
      </w:tr>
    </w:tbl>
    <w:p>
      <w:pPr>
        <w:pStyle w:val="986"/>
      </w:pPr>
      <w:r>
        <w:t xml:space="preserve">При этом:</w:t>
      </w:r>
      <w:r/>
    </w:p>
    <w:p>
      <w:pPr>
        <w:pStyle w:val="976"/>
      </w:pPr>
      <w:r>
        <w:t xml:space="preserve">фонарная группа «Отражение на ЛС в ЭБ» списковой формы формуляра «Сведения о денежном обязательстве» отображается только для пользователей </w:t>
      </w:r>
      <w:r>
        <w:rPr>
          <w:rStyle w:val="1220"/>
        </w:rPr>
        <w:t xml:space="preserve">ТОФК</w:t>
      </w:r>
      <w:r>
        <w:t xml:space="preserve">;</w:t>
      </w:r>
      <w:r/>
    </w:p>
    <w:p>
      <w:pPr>
        <w:pStyle w:val="976"/>
      </w:pPr>
      <w:r>
        <w:t xml:space="preserve">наименование ранее реализованной фонарной группы «Отражение на ЛС» списковой формы формуляра «Сведения о денежном обязательстве» изменяется на «Отражение на ЛС в АСФК» – для отображения в </w:t>
      </w:r>
      <w:r>
        <w:t xml:space="preserve">ЛК</w:t>
      </w:r>
      <w:r>
        <w:t xml:space="preserve"> </w:t>
      </w:r>
      <w:r>
        <w:rPr>
          <w:rStyle w:val="1220"/>
        </w:rPr>
        <w:t xml:space="preserve">ТОФК</w:t>
      </w:r>
      <w:r>
        <w:t xml:space="preserve">, не изменяется – для отображения в </w:t>
      </w:r>
      <w:r>
        <w:t xml:space="preserve">ЛК</w:t>
      </w:r>
      <w:r>
        <w:t xml:space="preserve"> Клиента.</w:t>
      </w:r>
      <w:r/>
    </w:p>
    <w:p>
      <w:pPr>
        <w:pStyle w:val="985"/>
      </w:pPr>
      <w:r>
        <w:t xml:space="preserve">В </w:t>
      </w:r>
      <w:r>
        <w:t xml:space="preserve">ЛК</w:t>
      </w:r>
      <w:r>
        <w:t xml:space="preserve"> ТОФК ПУР ЭБ пользователю доступен просмотр сформированных по формуляру «Сведения о денежном обязательстве» записей бухгалтерского учета, а также информации об отражении операций на ЛС (записей учета состояния ЛС).</w:t>
      </w:r>
      <w:r/>
    </w:p>
    <w:p>
      <w:pPr>
        <w:pStyle w:val="986"/>
      </w:pPr>
      <w:r>
        <w:t xml:space="preserve">Форма просмотра записей учета вызывается по кнопке на списковой и визуальной форме формуляра «Сведения о денежном обязательстве»:</w:t>
      </w:r>
      <w:r/>
    </w:p>
    <w:p>
      <w:pPr>
        <w:pStyle w:val="976"/>
      </w:pPr>
      <w:r>
        <w:t xml:space="preserve">«</w:t>
      </w:r>
      <w:r>
        <w:t xml:space="preserve">Просмотр записей бухгалтерского учета</w:t>
      </w:r>
      <w:r>
        <w:t xml:space="preserve">»;</w:t>
      </w:r>
      <w:r/>
    </w:p>
    <w:p>
      <w:pPr>
        <w:pStyle w:val="976"/>
      </w:pPr>
      <w:r>
        <w:t xml:space="preserve">«</w:t>
      </w:r>
      <w:r>
        <w:t xml:space="preserve">Просмотр записей операционного учета» – для просмотра записей учета состояния лицевого счета</w:t>
      </w:r>
      <w:r>
        <w:t xml:space="preserve">.</w:t>
      </w:r>
      <w:r/>
    </w:p>
    <w:p>
      <w:pPr>
        <w:pStyle w:val="985"/>
      </w:pPr>
      <w:r>
        <w:t xml:space="preserve">Список записей учета содержит реквизиты: «Дата», «Номер ДО», «Счет по дебету», «Счет по кредиту», «Сумма», «Статус проводки». Счет по дебету и </w:t>
      </w:r>
      <w:r>
        <w:t xml:space="preserve">С</w:t>
      </w:r>
      <w:r>
        <w:t xml:space="preserve">чет по кредиту отражается в виде набора аналитических признаков, в разрезе которых ведется учет, и значения которых записываются через точку в соответствующих сегментах показателя ЛС/счета бухгалтерского учета. </w:t>
      </w:r>
      <w:r/>
    </w:p>
    <w:p>
      <w:pPr>
        <w:pStyle w:val="985"/>
      </w:pPr>
      <w:r>
        <w:t xml:space="preserve">В случае формирования в ЛК ПУР ЭБ или поступления в ПУР ЭБ обязательств по лс, обслуживающим в ПУР ЭБ в соответствии со справочником «Книга регистрации лицевых счетов» отражение операций по документу осуществляется только в модуле ПУиО ЭБ.</w:t>
      </w:r>
      <w:r/>
    </w:p>
    <w:p>
      <w:pPr>
        <w:pStyle w:val="985"/>
      </w:pPr>
      <w:r>
        <w:t xml:space="preserve">При принятии Т</w:t>
      </w:r>
      <w:r>
        <w:t xml:space="preserve">ОФК положительного решения по документу выполняется проверка со справочником «Взаимодействие с внешними системами», если л/с Клиента переведен в ПУР ЭБ, то формируется запрос на формирование предварительных проводок в ПУиО ЭБ с датой равной дате документа.</w:t>
      </w:r>
      <w:r/>
    </w:p>
    <w:p>
      <w:pPr>
        <w:pStyle w:val="985"/>
      </w:pPr>
      <w:r>
        <w:t xml:space="preserve">Если получен отриц</w:t>
      </w:r>
      <w:r>
        <w:t xml:space="preserve">ательный результат из ПУиО ЭБ, то формуляр «Сведения о денежном обязательстве» переходит в статус «Отклонен ФК», ФГ ФК «Отражение на ЛС в ЭБ» загорается красным. Формируется формуляр «Протокол» и после согласования/утверждения направляется в адрес Клиента.</w:t>
      </w:r>
      <w:r/>
    </w:p>
    <w:p>
      <w:pPr>
        <w:pStyle w:val="985"/>
      </w:pPr>
      <w:r>
        <w:t xml:space="preserve">Если из ПУиО ЭБ получен положительный результат обработки запроса ФГ ФК «Отражение на ЛС в ЭБ» загорается желтым и документ передается на согласование/утверждение ТОФК.</w:t>
      </w:r>
      <w:r/>
    </w:p>
    <w:p>
      <w:pPr>
        <w:pStyle w:val="985"/>
      </w:pPr>
      <w:r>
        <w:t xml:space="preserve">Для формуляра «Сведения о денежном обязательстве» с типом «Первичные»:</w:t>
      </w:r>
      <w:r/>
    </w:p>
    <w:p>
      <w:pPr>
        <w:pStyle w:val="985"/>
      </w:pPr>
      <w:r>
        <w:t xml:space="preserve">По результатам утверждения (посредством ЭП) ТОФК формируется запись в Перечне ДО с присвоением уникального номера обязательства на статусе «Условно включена» и направляется запрос в ПУи</w:t>
      </w:r>
      <w:r>
        <w:t xml:space="preserve">О ЭБ на формирование окончательных проводок. Из ПУР ЭБ в Модуль учета ПУиО ЭБ передается запрос на удаление предварительных проводок, затем запрос на формирование окончательных проводок с датой равной дате постановки на учет денежных обязательств в ПУР ЭБ.</w:t>
      </w:r>
      <w:r/>
    </w:p>
    <w:p>
      <w:pPr>
        <w:pStyle w:val="985"/>
      </w:pPr>
      <w:r>
        <w:t xml:space="preserve">При получении от ПУиО ЭБ ошибки выполнения запроса на удаление проводок загорается красный фонарь группы «Отражение на ЛС в ЭБ», выполняется повторная отправка запроса через </w:t>
      </w:r>
      <w:r>
        <w:t xml:space="preserve">кнопку </w:t>
      </w:r>
      <w:r>
        <w:t xml:space="preserve">со списковой формы.</w:t>
      </w:r>
      <w:r/>
    </w:p>
    <w:p>
      <w:pPr>
        <w:pStyle w:val="985"/>
      </w:pPr>
      <w:r>
        <w:t xml:space="preserve">При получении отрицательного результата обработки запроса на формирование окончательных проводок фонарная группа ФК «Отражение на ЛС в ЭБ» загорается красным, ДО в Перечне ДО переходит на статус «Архив» и формируется Протокол. </w:t>
      </w:r>
      <w:r/>
    </w:p>
    <w:p>
      <w:pPr>
        <w:pStyle w:val="985"/>
      </w:pPr>
      <w:r>
        <w:t xml:space="preserve">При получении по</w:t>
      </w:r>
      <w:r>
        <w:t xml:space="preserve">ложительного ответа от ПУиО ЭБ, в ПУР ЭБ осуществляется актуализация ДО в Перечне ДО и формирование формуляра «Извещение о постановке на учет ДО». Сформированный формуляр «Извещение о постановке на учет ДО» утверждается ТОФК и направляется в адрес Клиента.</w:t>
      </w:r>
      <w:r/>
    </w:p>
    <w:p>
      <w:pPr>
        <w:pStyle w:val="985"/>
      </w:pPr>
      <w:r>
        <w:t xml:space="preserve">Для формуляра «Сведения о денежном обязательстве» с типом «Изменение»:</w:t>
      </w:r>
      <w:r/>
    </w:p>
    <w:p>
      <w:pPr>
        <w:pStyle w:val="985"/>
      </w:pPr>
      <w:r>
        <w:t xml:space="preserve">По результатам утверждения (посредством ЭП) ТОФК осуществляется актуализация ДО в Перечне ДО и направляе</w:t>
      </w:r>
      <w:r>
        <w:t xml:space="preserve">тся запрос в ПУиО ЭБ на формирование окончательных проводок. Из ПУР ЭБ в Модуль учета ПУиО ЭБ передается запрос на удаление предварительных проводок, затем запрос на формирование окончательных проводок с датой равной дате актуализации в учете ДО в ПУР ЭБ. </w:t>
      </w:r>
      <w:r/>
    </w:p>
    <w:p>
      <w:pPr>
        <w:pStyle w:val="985"/>
      </w:pPr>
      <w:r>
        <w:t xml:space="preserve">При получении от ПУиО ЭБ ошибки выполнения запроса на удаление проводок загорается красный фонарь группы «Отражение на ЛС в ЭБ», выполняется повторная отправка запроса через </w:t>
      </w:r>
      <w:r>
        <w:t xml:space="preserve">кнопку </w:t>
      </w:r>
      <w:r>
        <w:t xml:space="preserve">со списковой формы.</w:t>
      </w:r>
      <w:r/>
    </w:p>
    <w:p>
      <w:pPr>
        <w:pStyle w:val="985"/>
      </w:pPr>
      <w:r>
        <w:t xml:space="preserve">При получении отрицательного результата обработки запроса на формирование окончательных проводок фонарная группа ФК «Отражение на ЛС в ЭБ» загорается красным и формируется Протокол. Отменяются изменения ДО в Перечне ДО.</w:t>
      </w:r>
      <w:r/>
    </w:p>
    <w:p>
      <w:pPr>
        <w:pStyle w:val="985"/>
      </w:pPr>
      <w:r>
        <w:t xml:space="preserve">При получении положительного ответа от ПУиО ЭБ, в ПУР ЭБ осуществляется формирование формуляра «Извещение о постановке на учет ДО, утверждается ТОФК и направляются в адрес Клиента.</w:t>
      </w:r>
      <w:r/>
    </w:p>
    <w:p>
      <w:pPr>
        <w:pStyle w:val="962"/>
        <w:ind w:left="851" w:hanging="851"/>
        <w:tabs>
          <w:tab w:val="clear" w:pos="576" w:leader="none"/>
        </w:tabs>
        <w:rPr>
          <w:szCs w:val="24"/>
        </w:rPr>
      </w:pPr>
      <w:r/>
      <w:bookmarkStart w:id="129" w:name="_Toc533087050"/>
      <w:r/>
      <w:bookmarkStart w:id="130" w:name="_Toc40995595"/>
      <w:r/>
      <w:bookmarkStart w:id="131" w:name="_Toc62446036"/>
      <w:r>
        <w:rPr>
          <w:szCs w:val="24"/>
        </w:rPr>
        <w:t xml:space="preserve">Бизнес-процесс «Формирование и передача информации о постановке на учет ДО»</w:t>
      </w:r>
      <w:bookmarkEnd w:id="129"/>
      <w:r/>
      <w:bookmarkEnd w:id="130"/>
      <w:r/>
      <w:bookmarkEnd w:id="131"/>
      <w:r/>
      <w:r/>
    </w:p>
    <w:p>
      <w:pPr>
        <w:pStyle w:val="985"/>
      </w:pPr>
      <w:r/>
      <w:bookmarkStart w:id="132" w:name="_Toc497462909"/>
      <w:r/>
      <w:bookmarkStart w:id="133" w:name="_Toc494838208"/>
      <w:r>
        <w:t xml:space="preserve">В рамках выполнения бизнес-процесса «Формирование и передача информации о постановке на учет ДО» осуществляется формирование, передача и просмотр документа «Извещение о постановке на учет (изменении) </w:t>
      </w:r>
      <w:bookmarkEnd w:id="132"/>
      <w:r/>
      <w:bookmarkEnd w:id="133"/>
      <w:r>
        <w:t xml:space="preserve">денежного обязательства в органе Федерального казначейства» (ф. 0506106).</w:t>
      </w:r>
      <w:r/>
    </w:p>
    <w:p>
      <w:pPr>
        <w:pStyle w:val="985"/>
      </w:pPr>
      <w:r>
        <w:t xml:space="preserve">После включения экземпляра формуляра «Сведения о </w:t>
      </w:r>
      <w:r>
        <w:t xml:space="preserve">денежном обязательстве</w:t>
      </w:r>
      <w:r>
        <w:t xml:space="preserve">» в Перечень ДО, формируется экземпляр формуляра «Извещение о постановке на учет ДО» и подписывается ЭП уполномоченного сотрудника ТОФК.</w:t>
      </w:r>
      <w:r/>
    </w:p>
    <w:p>
      <w:pPr>
        <w:pStyle w:val="985"/>
      </w:pPr>
      <w:r>
        <w:t xml:space="preserve">Экземпляр формуляра «Извещение о постановке на учет ДО» содержит в себе детализированную информацию о регистрации и отражении на ЛС ДО.</w:t>
      </w:r>
      <w:r/>
    </w:p>
    <w:p>
      <w:pPr>
        <w:pStyle w:val="986"/>
      </w:pPr>
      <w:r>
        <w:t xml:space="preserve">Сформированный и подписанный ЭП ТОФК экземпляр формуляра «Извещение о постановке на учет ДО» автоматически:</w:t>
      </w:r>
      <w:r/>
    </w:p>
    <w:p>
      <w:pPr>
        <w:pStyle w:val="976"/>
      </w:pPr>
      <w:r>
        <w:t xml:space="preserve">отображается в </w:t>
      </w:r>
      <w:r>
        <w:t xml:space="preserve">ЛК</w:t>
      </w:r>
      <w:r>
        <w:t xml:space="preserve"> Клиента ПУР ЭБ при формировании формуляра «Сведения о денежном обязательстве» в ПУР ЭБ;</w:t>
      </w:r>
      <w:r/>
    </w:p>
    <w:p>
      <w:pPr>
        <w:pStyle w:val="976"/>
      </w:pPr>
      <w:r>
        <w:t xml:space="preserve">передается во внешнюю систему Клиента при формировании формуляра «Сведения о </w:t>
      </w:r>
      <w:r>
        <w:t xml:space="preserve">денежном обязательстве</w:t>
      </w:r>
      <w:r>
        <w:t xml:space="preserve">» во внешней системе</w:t>
      </w:r>
      <w:r>
        <w:t xml:space="preserve">;</w:t>
      </w:r>
      <w:r/>
    </w:p>
    <w:p>
      <w:pPr>
        <w:pStyle w:val="976"/>
      </w:pPr>
      <w:r>
        <w:t xml:space="preserve">передается в адрес Клиента в ЕИС при формировании формуляра «Сведения о денежном обязательстве» в ЕИС.</w:t>
      </w:r>
      <w:r/>
    </w:p>
    <w:p>
      <w:pPr>
        <w:pStyle w:val="985"/>
      </w:pPr>
      <w:r>
        <w:t xml:space="preserve">В Компоненте ДО ПУР ЭБ на уровне Клиента осуществляется просмотр экземпляра формуляра «Извещение о постановке на учет ДО».</w:t>
      </w:r>
      <w:r/>
    </w:p>
    <w:p>
      <w:pPr>
        <w:pStyle w:val="986"/>
      </w:pPr>
      <w:r>
        <w:t xml:space="preserve">Для учета операций по переданным полномочиям получателя бюджетных средств (</w:t>
      </w:r>
      <w:r>
        <w:t xml:space="preserve">л/с</w:t>
      </w:r>
      <w:r>
        <w:t xml:space="preserve"> с кодом 14) формуляр «Извещение о постановке на учет</w:t>
      </w:r>
      <w:r>
        <w:t xml:space="preserve"> ДО</w:t>
      </w:r>
      <w:r>
        <w:t xml:space="preserve">», сформированный в ПУР ЭБ на основании формуляра «Сведения о </w:t>
      </w:r>
      <w:r>
        <w:t xml:space="preserve">бюджетном </w:t>
      </w:r>
      <w:r>
        <w:t xml:space="preserve">обязательстве»</w:t>
      </w:r>
      <w:r>
        <w:t xml:space="preserve">,</w:t>
      </w:r>
      <w:r>
        <w:t xml:space="preserve"> отображается:</w:t>
      </w:r>
      <w:r/>
    </w:p>
    <w:p>
      <w:pPr>
        <w:pStyle w:val="976"/>
      </w:pPr>
      <w:r>
        <w:t xml:space="preserve">в </w:t>
      </w:r>
      <w:r>
        <w:t xml:space="preserve">ЛК</w:t>
      </w:r>
      <w:r>
        <w:t xml:space="preserve"> организации, принявшей полномочия;</w:t>
      </w:r>
      <w:r/>
    </w:p>
    <w:p>
      <w:pPr>
        <w:pStyle w:val="976"/>
      </w:pPr>
      <w:r>
        <w:t xml:space="preserve">в </w:t>
      </w:r>
      <w:r>
        <w:t xml:space="preserve">ЛК</w:t>
      </w:r>
      <w:r>
        <w:t xml:space="preserve"> организации, передавшей полномочия.</w:t>
      </w:r>
      <w:r/>
    </w:p>
    <w:p>
      <w:pPr>
        <w:pStyle w:val="985"/>
      </w:pPr>
      <w:r>
        <w:t xml:space="preserve">При передаче полномочий Центру компетенций ФК утверждение </w:t>
      </w:r>
      <w:r>
        <w:rPr>
          <w:szCs w:val="24"/>
        </w:rPr>
        <w:t xml:space="preserve">формуляра «Извещение о постановке на учет ДО»</w:t>
      </w:r>
      <w:r>
        <w:t xml:space="preserve"> осуществляется в </w:t>
      </w:r>
      <w:r>
        <w:t xml:space="preserve">ЛК</w:t>
      </w:r>
      <w:r>
        <w:t xml:space="preserve"> ТОФК в соответствии с требованиями к справочнику «Центр компетенций».</w:t>
      </w:r>
      <w:r/>
    </w:p>
    <w:p>
      <w:pPr>
        <w:pStyle w:val="985"/>
      </w:pPr>
      <w:r>
        <w:t xml:space="preserve">Информационный обмен между ПУР ЭБ и СУЭ ФК осуществляется посредством веб-сервиса путем обмена XML-сообщениями между взаимодействующими системами не реже, чем раз в сутки. Инициатором обмена выступает ПУР ЭБ, выполняющая вызов веб-сервиса.</w:t>
      </w:r>
      <w:r/>
    </w:p>
    <w:p>
      <w:pPr>
        <w:pStyle w:val="985"/>
      </w:pPr>
      <w:r>
        <w:t xml:space="preserve">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системе.</w:t>
      </w:r>
      <w:r/>
    </w:p>
    <w:p>
      <w:pPr>
        <w:pStyle w:val="985"/>
      </w:pPr>
      <w:r>
        <w:t xml:space="preserve">Система-отправитель формирует запрос, содержащий пакет данных</w:t>
      </w:r>
      <w:r>
        <w:t xml:space="preserve">,</w:t>
      </w:r>
      <w:r>
        <w:t xml:space="preserve"> и осуществляет вызов веб-сервиса. В случае успешной </w:t>
      </w:r>
      <w:r>
        <w:rPr>
          <w:rStyle w:val="1220"/>
        </w:rPr>
        <w:t xml:space="preserve">валидации</w:t>
      </w:r>
      <w:r>
        <w:t xml:space="preserve"> (сравнения с эталонной схемой) запроса система-получатель передает запрос целевому процессу обработки, и веб-сервис системы-получателя в синхронном режиме возвращает ответ о приёме информационного пакета.</w:t>
      </w:r>
      <w:r/>
    </w:p>
    <w:p>
      <w:pPr>
        <w:pStyle w:val="985"/>
      </w:pPr>
      <w:r>
        <w:t xml:space="preserve">В случае недоступности сервиса системы-получателя в систему-отправитель возвращается результат с кодом 500. При этом должна выполняться повторная отправка пакета от системы-отправителя с периодичностью 1 раз в 20 минут в течение 3 часов.</w:t>
      </w:r>
      <w:r/>
    </w:p>
    <w:p>
      <w:pPr>
        <w:pStyle w:val="985"/>
      </w:pPr>
      <w:r>
        <w:t xml:space="preserve">В случае </w:t>
      </w:r>
      <w:r>
        <w:t xml:space="preserve">получения системой-отправителем от системы-получателя результата с кодом 200 и сообщения об ошибке разбор ошибки выполняется на стороне системы-отправителя на основании данных запроса. После чего выполняется повторная отправка пакета системой-отправителем.</w:t>
      </w:r>
      <w:r/>
    </w:p>
    <w:p>
      <w:pPr>
        <w:pStyle w:val="962"/>
        <w:ind w:left="851" w:hanging="851"/>
        <w:tabs>
          <w:tab w:val="clear" w:pos="576" w:leader="none"/>
        </w:tabs>
      </w:pPr>
      <w:r/>
      <w:bookmarkStart w:id="134" w:name="_Toc533087052"/>
      <w:r/>
      <w:bookmarkStart w:id="135" w:name="_Toc500505254"/>
      <w:r/>
      <w:bookmarkStart w:id="136" w:name="_Toc40995597"/>
      <w:r/>
      <w:bookmarkStart w:id="137" w:name="_Toc62446037"/>
      <w:r>
        <w:t xml:space="preserve">Бизнес-процесс «Формирование и предоставление отчётности по ДО в соответствии с Приказом</w:t>
      </w:r>
      <w:r>
        <w:t xml:space="preserve"> Минфина России № 258</w:t>
      </w:r>
      <w:r>
        <w:t xml:space="preserve">н»</w:t>
      </w:r>
      <w:bookmarkEnd w:id="134"/>
      <w:r/>
      <w:bookmarkEnd w:id="135"/>
      <w:r/>
      <w:bookmarkEnd w:id="136"/>
      <w:r/>
      <w:bookmarkEnd w:id="137"/>
      <w:r/>
      <w:r/>
    </w:p>
    <w:p>
      <w:pPr>
        <w:pStyle w:val="986"/>
      </w:pPr>
      <w:r>
        <w:t xml:space="preserve">В рамках выполнения бизнес-процесса «Формирование и предоставление отчётности по ДО в соответствии с Приказом</w:t>
      </w:r>
      <w:r>
        <w:t xml:space="preserve"> Минфина России № 258</w:t>
      </w:r>
      <w:r>
        <w:t xml:space="preserve">н» в ПУР ЭБ обеспечивается возможность формирования следующих отчетных форм, предусмотренн</w:t>
      </w:r>
      <w:r>
        <w:t xml:space="preserve">ых Приказом Минфина России № 258</w:t>
      </w:r>
      <w:r>
        <w:t xml:space="preserve">н:</w:t>
      </w:r>
      <w:r/>
    </w:p>
    <w:p>
      <w:pPr>
        <w:pStyle w:val="976"/>
      </w:pPr>
      <w:r>
        <w:t xml:space="preserve">«Информация о принятых на учет обязательствах» (ф. 0506601);</w:t>
      </w:r>
      <w:r/>
    </w:p>
    <w:p>
      <w:pPr>
        <w:pStyle w:val="976"/>
      </w:pPr>
      <w:r>
        <w:t xml:space="preserve">«Информация об исполнении обязательств» (ф. 0506603);</w:t>
      </w:r>
      <w:r/>
    </w:p>
    <w:p>
      <w:pPr>
        <w:pStyle w:val="976"/>
      </w:pPr>
      <w:r>
        <w:t xml:space="preserve">«Информация об исполнении обязательств, принятых в целях реализации федеральной адресной инвестиционной программы» (ф. 0506604);</w:t>
      </w:r>
      <w:r/>
    </w:p>
    <w:p>
      <w:pPr>
        <w:pStyle w:val="976"/>
      </w:pPr>
      <w:r>
        <w:t xml:space="preserve">«Справка об исполнении принятых на учет обязательств» (ф. 0506602).</w:t>
      </w:r>
      <w:r/>
    </w:p>
    <w:p>
      <w:pPr>
        <w:pStyle w:val="986"/>
      </w:pPr>
      <w:r/>
      <w:bookmarkStart w:id="138" w:name="_Toc505796375"/>
      <w:r/>
      <w:bookmarkStart w:id="139" w:name="_Toc505796472"/>
      <w:r/>
      <w:bookmarkStart w:id="140" w:name="_Toc505943539"/>
      <w:r/>
      <w:bookmarkStart w:id="141" w:name="_Toc505943640"/>
      <w:r/>
      <w:bookmarkStart w:id="142" w:name="_Toc505943737"/>
      <w:r/>
      <w:bookmarkStart w:id="143" w:name="_Toc505966704"/>
      <w:r/>
      <w:bookmarkStart w:id="144" w:name="_Toc505966801"/>
      <w:r/>
      <w:bookmarkStart w:id="145" w:name="_Toc506366991"/>
      <w:r/>
      <w:bookmarkStart w:id="146" w:name="_Toc506828388"/>
      <w:r/>
      <w:bookmarkStart w:id="147" w:name="_Toc506830035"/>
      <w:r/>
      <w:bookmarkStart w:id="148" w:name="_Toc507003045"/>
      <w:r/>
      <w:bookmarkStart w:id="149" w:name="_Toc507003170"/>
      <w:r/>
      <w:bookmarkStart w:id="150" w:name="_Toc507067090"/>
      <w:r/>
      <w:bookmarkStart w:id="151" w:name="_Toc507415090"/>
      <w:r/>
      <w:bookmarkEnd w:id="138"/>
      <w:r/>
      <w:bookmarkEnd w:id="139"/>
      <w:r/>
      <w:bookmarkEnd w:id="140"/>
      <w:r/>
      <w:bookmarkEnd w:id="141"/>
      <w:r/>
      <w:bookmarkEnd w:id="142"/>
      <w:r/>
      <w:bookmarkEnd w:id="143"/>
      <w:r/>
      <w:bookmarkEnd w:id="144"/>
      <w:r/>
      <w:bookmarkEnd w:id="145"/>
      <w:r/>
      <w:bookmarkEnd w:id="146"/>
      <w:r/>
      <w:bookmarkEnd w:id="147"/>
      <w:r/>
      <w:bookmarkEnd w:id="148"/>
      <w:r/>
      <w:bookmarkEnd w:id="149"/>
      <w:r/>
      <w:bookmarkEnd w:id="150"/>
      <w:r/>
      <w:bookmarkEnd w:id="151"/>
      <w:r>
        <w:t xml:space="preserve">Формирование отчетов в ПУР ЭБ осуществляется по данным ПУР ЭБ посредством ввода парам</w:t>
      </w:r>
      <w:r>
        <w:t xml:space="preserve">етров формирования в универсальную форму, вызываемую вручную из соответствующего раздела дерева навигации или по действию «Сформировать отчет» со списковой формы соответствующего отчета. Заполнение входных параметров в универсальной форме доступно как на с</w:t>
      </w:r>
      <w:r>
        <w:t xml:space="preserve">тороне Клиента в ПУР ЭБ, так и на стороне ТОФК по запросу от клиента. Сформированная универсальная форма подписывается ответственным сотрудником ТОФК и выполняется действие «Сформировать отчет». В зависимости от входных параметров может быть сформировано б</w:t>
      </w:r>
      <w:r>
        <w:t xml:space="preserve">олее 1 отчета. Сформированные отчеты отображаются на вкладке универсальной формы. Между универсальной формой и отчетом устанавливается ссылочная связь. Сформированные отчеты подписываются ответственным исполнителем ТОФК и направляются в адрес пользователя.</w:t>
      </w:r>
      <w:r/>
    </w:p>
    <w:p>
      <w:pPr>
        <w:pStyle w:val="986"/>
      </w:pPr>
      <w:r>
        <w:t xml:space="preserve">При частичном переводе ЛС на обслуживание в ПУР ЭБ по результатам подтверждения отчетов ответственным сотрудником ТОФК выполняется выгрузка отчетов в АСФК для проведения последующей консолидации и свода.</w:t>
      </w:r>
      <w:r/>
    </w:p>
    <w:p>
      <w:pPr>
        <w:pStyle w:val="962"/>
        <w:ind w:left="851" w:hanging="851"/>
        <w:tabs>
          <w:tab w:val="clear" w:pos="576" w:leader="none"/>
        </w:tabs>
      </w:pPr>
      <w:r/>
      <w:bookmarkStart w:id="152" w:name="_Toc533087053"/>
      <w:r/>
      <w:bookmarkStart w:id="153" w:name="_Ref534750675"/>
      <w:r/>
      <w:bookmarkStart w:id="154" w:name="_Toc40995598"/>
      <w:r/>
      <w:bookmarkStart w:id="155" w:name="_Toc62446038"/>
      <w:r>
        <w:t xml:space="preserve">Бизнес-процесс «Предоставление документа «Универсальный передаточный документ» на основании УПД на стороне Клиента»</w:t>
      </w:r>
      <w:bookmarkEnd w:id="152"/>
      <w:r/>
      <w:bookmarkEnd w:id="153"/>
      <w:r/>
      <w:bookmarkEnd w:id="154"/>
      <w:r/>
      <w:bookmarkEnd w:id="155"/>
      <w:r/>
      <w:r/>
    </w:p>
    <w:p>
      <w:pPr>
        <w:pStyle w:val="985"/>
      </w:pPr>
      <w:r>
        <w:t xml:space="preserve">В рамках бизнес-</w:t>
      </w:r>
      <w:r>
        <w:t xml:space="preserve">процесса «Предоставление документа «Универсальный передаточный документ» на основании УПД на стороне Клиента» обеспечивается возможность формирования, согласования и утверждения экземпляра формуляра «Универсальный передаточный документ» на стороне Клиента.</w:t>
      </w:r>
      <w:r/>
    </w:p>
    <w:p>
      <w:pPr>
        <w:pStyle w:val="985"/>
        <w:rPr>
          <w:rStyle w:val="994"/>
          <w:i w:val="0"/>
        </w:rPr>
      </w:pPr>
      <w:r>
        <w:rPr>
          <w:rStyle w:val="994"/>
          <w:i w:val="0"/>
        </w:rPr>
        <w:t xml:space="preserve">Формирование формуляра «</w:t>
      </w:r>
      <w:r>
        <w:t xml:space="preserve">Универсальный передаточный документ</w:t>
      </w:r>
      <w:r>
        <w:rPr>
          <w:rStyle w:val="994"/>
          <w:i w:val="0"/>
        </w:rPr>
        <w:t xml:space="preserve">» в ПУР ЭБ осуществляется уполномоченным сотрудником в </w:t>
      </w:r>
      <w:r>
        <w:rPr>
          <w:rStyle w:val="994"/>
          <w:i w:val="0"/>
        </w:rPr>
        <w:t xml:space="preserve">ЛК</w:t>
      </w:r>
      <w:r>
        <w:rPr>
          <w:rStyle w:val="994"/>
          <w:i w:val="0"/>
        </w:rPr>
        <w:t xml:space="preserve"> </w:t>
      </w:r>
      <w:r>
        <w:t xml:space="preserve">ПБС</w:t>
      </w:r>
      <w:r>
        <w:rPr>
          <w:rStyle w:val="994"/>
          <w:i w:val="0"/>
        </w:rPr>
        <w:t xml:space="preserve"> ПУР ЭБ через импорт архива с файлами УПД в формате XML и файлами ЭП.</w:t>
      </w:r>
      <w:r>
        <w:t xml:space="preserve"> </w:t>
      </w:r>
      <w:r>
        <w:rPr>
          <w:rStyle w:val="994"/>
          <w:i w:val="0"/>
        </w:rPr>
        <w:t xml:space="preserve">Реквизитный состав импортируемого архива с файлами УПД соответствует форматам, утвержденным </w:t>
      </w:r>
      <w:r>
        <w:rPr>
          <w:rStyle w:val="994"/>
          <w:i w:val="0"/>
        </w:rPr>
        <w:t xml:space="preserve">приказом ФНС России от 19.12.2018 № ММВ-7-15/820@ (https://www.nalog.ru/rn77/about_fts/docs/8335278/).</w:t>
      </w:r>
      <w:r/>
    </w:p>
    <w:p>
      <w:pPr>
        <w:pStyle w:val="985"/>
      </w:pPr>
      <w:r>
        <w:rPr>
          <w:rStyle w:val="994"/>
          <w:i w:val="0"/>
        </w:rPr>
        <w:t xml:space="preserve">При импорте осуществляется </w:t>
      </w:r>
      <w:r>
        <w:rPr>
          <w:rStyle w:val="1220"/>
        </w:rPr>
        <w:t xml:space="preserve">валидация</w:t>
      </w:r>
      <w:r>
        <w:rPr>
          <w:rStyle w:val="994"/>
          <w:i w:val="0"/>
        </w:rPr>
        <w:t xml:space="preserve"> по </w:t>
      </w:r>
      <w:r>
        <w:rPr>
          <w:rStyle w:val="1220"/>
          <w:lang w:val="en-US"/>
        </w:rPr>
        <w:t xml:space="preserve">xsd</w:t>
      </w:r>
      <w:r>
        <w:rPr>
          <w:rStyle w:val="994"/>
          <w:i w:val="0"/>
        </w:rPr>
        <w:t xml:space="preserve">-схеме </w:t>
      </w:r>
      <w:r>
        <w:t xml:space="preserve">XML</w:t>
      </w:r>
      <w:r>
        <w:rPr>
          <w:rStyle w:val="994"/>
          <w:i w:val="0"/>
        </w:rPr>
        <w:t xml:space="preserve">-файлов с формулярами </w:t>
      </w:r>
      <w:r>
        <w:t xml:space="preserve">«Универсальный передаточный документ»</w:t>
      </w:r>
      <w:r>
        <w:rPr>
          <w:rStyle w:val="994"/>
          <w:i w:val="0"/>
        </w:rPr>
        <w:t xml:space="preserve"> и проверка целостности внешней ЭП ПБС посредством сервиса, </w:t>
      </w:r>
      <w:r>
        <w:t xml:space="preserve">предоставляемого ПОЮЗД. Посредством сервиса ПОИ выполняется определение пользователя по ЭП, которой подписаны переданные из внешней ИС формуляры «Универсальный передаточный документ». Проверка полномоч</w:t>
      </w:r>
      <w:r>
        <w:t xml:space="preserve">ий пользователя на подписание документа осуществляется путем проверки наличия текущего пользователя в списке всех пользователей текущей организации, полученном через вызов сервиса «Подбор исполнителей», у которых имеются полномочия на подписание документа.</w:t>
      </w:r>
      <w:r/>
    </w:p>
    <w:p>
      <w:pPr>
        <w:pStyle w:val="985"/>
        <w:rPr>
          <w:rStyle w:val="994"/>
          <w:i w:val="0"/>
        </w:rPr>
      </w:pPr>
      <w:r>
        <w:rPr>
          <w:rStyle w:val="994"/>
          <w:i w:val="0"/>
        </w:rPr>
        <w:t xml:space="preserve">В случае отрицательной проверки выводится диалоговое окно с ошибкой, формуляр «</w:t>
      </w:r>
      <w:r>
        <w:t xml:space="preserve">Универсальный передаточный документ</w:t>
      </w:r>
      <w:r>
        <w:rPr>
          <w:rStyle w:val="994"/>
          <w:i w:val="0"/>
        </w:rPr>
        <w:t xml:space="preserve">» не формируется в ПУР ЭБ.</w:t>
      </w:r>
      <w:r/>
    </w:p>
    <w:p>
      <w:pPr>
        <w:pStyle w:val="986"/>
      </w:pPr>
      <w:r>
        <w:rPr>
          <w:rStyle w:val="994"/>
          <w:i w:val="0"/>
        </w:rPr>
        <w:t xml:space="preserve">Формируемый в ПУР ЭБ формуляр «</w:t>
      </w:r>
      <w:r>
        <w:t xml:space="preserve">Универсальный передаточный документ</w:t>
      </w:r>
      <w:r>
        <w:rPr>
          <w:rStyle w:val="994"/>
          <w:i w:val="0"/>
        </w:rPr>
        <w:t xml:space="preserve">» </w:t>
      </w:r>
      <w:r>
        <w:t xml:space="preserve">должен содержать реквизиты, необходимые:</w:t>
      </w:r>
      <w:r/>
    </w:p>
    <w:p>
      <w:pPr>
        <w:pStyle w:val="976"/>
      </w:pPr>
      <w:r>
        <w:t xml:space="preserve">для формирования </w:t>
      </w:r>
      <w:r>
        <w:t xml:space="preserve">формуляров</w:t>
      </w:r>
      <w:r>
        <w:t xml:space="preserve"> «Сведения о бюджетном обязательстве»/«Сведения о денежном обязательстве»;</w:t>
      </w:r>
      <w:r/>
    </w:p>
    <w:p>
      <w:pPr>
        <w:pStyle w:val="976"/>
      </w:pPr>
      <w:r>
        <w:t xml:space="preserve">для визуального контроля ТОФК;</w:t>
      </w:r>
      <w:r/>
    </w:p>
    <w:p>
      <w:pPr>
        <w:pStyle w:val="976"/>
      </w:pPr>
      <w:r>
        <w:t xml:space="preserve">для формирования ЗКР;</w:t>
      </w:r>
      <w:r/>
    </w:p>
    <w:p>
      <w:pPr>
        <w:pStyle w:val="976"/>
      </w:pPr>
      <w:r>
        <w:t xml:space="preserve">для формирования печатной формы.</w:t>
      </w:r>
      <w:r/>
    </w:p>
    <w:p>
      <w:pPr>
        <w:pStyle w:val="985"/>
      </w:pPr>
      <w:r>
        <w:t xml:space="preserve">Сформированный формуляр «Универсальный передаточный документ» сохраняется в ПУР ЭБ, загружаемые </w:t>
      </w:r>
      <w:r>
        <w:rPr>
          <w:lang w:val="en-US"/>
        </w:rPr>
        <w:t xml:space="preserve">XML</w:t>
      </w:r>
      <w:r>
        <w:t xml:space="preserve">-файлы </w:t>
      </w:r>
      <w:r>
        <w:rPr>
          <w:lang w:val="en-US"/>
        </w:rPr>
        <w:t xml:space="preserve">c</w:t>
      </w:r>
      <w:r>
        <w:t xml:space="preserve"> ЭП сохраняются в табличной части закладки «Вложения».</w:t>
      </w:r>
      <w:r/>
    </w:p>
    <w:p>
      <w:pPr>
        <w:pStyle w:val="985"/>
      </w:pPr>
      <w:r>
        <w:t xml:space="preserve">По результатам сохранения формуляра выполняются автоматические контроли, включая контроли, предусмотренные Приказом</w:t>
      </w:r>
      <w:r>
        <w:t xml:space="preserve"> Минфина России № 258</w:t>
      </w:r>
      <w:r>
        <w:t xml:space="preserve">н</w:t>
      </w:r>
      <w:r>
        <w:t xml:space="preserve"> </w:t>
      </w:r>
      <w:r>
        <w:t xml:space="preserve">для </w:t>
      </w:r>
      <w:r>
        <w:t xml:space="preserve">формуляров</w:t>
      </w:r>
      <w:r>
        <w:t xml:space="preserve"> «Сведения о бюджетном обязательстве»/«Сведения о денежном обязательстве».</w:t>
      </w:r>
      <w:r/>
    </w:p>
    <w:p>
      <w:pPr>
        <w:pStyle w:val="985"/>
        <w:rPr>
          <w:szCs w:val="24"/>
        </w:rPr>
      </w:pPr>
      <w:r>
        <w:rPr>
          <w:szCs w:val="24"/>
        </w:rPr>
        <w:t xml:space="preserve">В табличной части формуляра </w:t>
      </w:r>
      <w:r>
        <w:t xml:space="preserve">«Универсальный передаточный документ»</w:t>
      </w:r>
      <w:r>
        <w:rPr>
          <w:szCs w:val="24"/>
        </w:rPr>
        <w:t xml:space="preserve"> на вкладке «Расшифровка платежей по УПД» необходимо обеспечить уникальность по комбинации: «Вид средств», «Код КБК», «Аналитический код»,</w:t>
      </w:r>
      <w:r>
        <w:t xml:space="preserve"> «</w:t>
      </w:r>
      <w:r>
        <w:rPr>
          <w:szCs w:val="24"/>
        </w:rPr>
        <w:t xml:space="preserve">Код объекта ФАИП/КМИ», «</w:t>
      </w:r>
      <w:r>
        <w:t xml:space="preserve">Наименование товара (работы, услуги)»</w:t>
      </w:r>
      <w:r>
        <w:rPr>
          <w:szCs w:val="24"/>
        </w:rPr>
        <w:t xml:space="preserve">.</w:t>
      </w:r>
      <w:r/>
    </w:p>
    <w:p>
      <w:pPr>
        <w:pStyle w:val="985"/>
      </w:pPr>
      <w:r>
        <w:t xml:space="preserve">Прошедший контроли формуляр «Универсальный передаточный документ» согласовывается и утверждается в </w:t>
      </w:r>
      <w:r>
        <w:t xml:space="preserve">ЛК</w:t>
      </w:r>
      <w:r>
        <w:t xml:space="preserve"> ПБС ПУР ЭБ.</w:t>
      </w:r>
      <w:r/>
    </w:p>
    <w:p>
      <w:pPr>
        <w:pStyle w:val="985"/>
      </w:pPr>
      <w:r>
        <w:t xml:space="preserve">Утвержденный формуляр «Универсальный передаточный документ» передается в адрес ТОФК, и последующая обработка осуществляется в рамках бизнес-процесса «Обработка документа «Универсальный передаточный документ» на стороне ТОФК».</w:t>
      </w:r>
      <w:r/>
    </w:p>
    <w:p>
      <w:pPr>
        <w:pStyle w:val="985"/>
      </w:pPr>
      <w:r>
        <w:t xml:space="preserve">Внесение изменений в ранее зарегистрированный формуляр «Универсальный передаточный документ» осуществляется при поступлении в ПУР ЭБ измененного документа по следующему алгоритму:</w:t>
      </w:r>
      <w:r/>
    </w:p>
    <w:p>
      <w:pPr>
        <w:pStyle w:val="976"/>
      </w:pPr>
      <w:r>
        <w:t xml:space="preserve">в поступившем формуляре «Универсальный передаточный документ» заполнен реквизит «Исправление №» значением</w:t>
      </w:r>
      <w:r>
        <w:t xml:space="preserve">,</w:t>
      </w:r>
      <w:r>
        <w:t xml:space="preserve"> отличным от 0;</w:t>
      </w:r>
      <w:r/>
    </w:p>
    <w:p>
      <w:pPr>
        <w:pStyle w:val="976"/>
      </w:pPr>
      <w:r>
        <w:t xml:space="preserve">выполняется блокирующий контроль: реквизит «Учетный номер денежного обязательства» не может быть заполнен, если не заполнен реквизит «Исправление №»;</w:t>
      </w:r>
      <w:r/>
    </w:p>
    <w:p>
      <w:pPr>
        <w:pStyle w:val="976"/>
      </w:pPr>
      <w:r>
        <w:t xml:space="preserve">осуществляется поиск формуляра «Универсальный передаточный документ», в который вносится изменение:</w:t>
      </w:r>
      <w:r/>
    </w:p>
    <w:p>
      <w:pPr>
        <w:pStyle w:val="977"/>
      </w:pPr>
      <w:r>
        <w:t xml:space="preserve">по учетному номеру ДО, если он указан в обрабатываемом формуляре «Универсальный передаточный документ»</w:t>
      </w:r>
      <w:r>
        <w:t xml:space="preserve">,</w:t>
      </w:r>
      <w:r/>
    </w:p>
    <w:p>
      <w:pPr>
        <w:pStyle w:val="977"/>
        <w:numPr>
          <w:ilvl w:val="0"/>
          <w:numId w:val="0"/>
        </w:numPr>
        <w:ind w:left="1134"/>
        <w:tabs>
          <w:tab w:val="left" w:pos="708" w:leader="none"/>
        </w:tabs>
      </w:pPr>
      <w:r>
        <w:t xml:space="preserve">либо</w:t>
      </w:r>
      <w:r/>
    </w:p>
    <w:p>
      <w:pPr>
        <w:pStyle w:val="977"/>
      </w:pPr>
      <w:r>
        <w:t xml:space="preserve">по связке реквизитов «№ УПД», «Дата УПД», «Код по СвР (покупателя)», если учетный номер ДО не заполнен в обрабатываемом формуляре «Универсальный передаточный документ»;</w:t>
      </w:r>
      <w:r/>
    </w:p>
    <w:p>
      <w:pPr>
        <w:pStyle w:val="976"/>
      </w:pPr>
      <w:r>
        <w:t xml:space="preserve">при нажатии на </w:t>
      </w:r>
      <w:r>
        <w:t xml:space="preserve">кнопку «</w:t>
      </w:r>
      <w:r>
        <w:t xml:space="preserve">Поставить на учет обязательства» на формуляре «Выписка из УПД» выполняются проверки:</w:t>
      </w:r>
      <w:r/>
    </w:p>
    <w:p>
      <w:pPr>
        <w:pStyle w:val="977"/>
      </w:pPr>
      <w:r>
        <w:t xml:space="preserve">на наличие в ПУР ЭБ находящегося на обработке ФК (статус «Утвержден», фонарная группа «ФК» = «желтый») или зарегистрированного ФК (статус «Зарегистрирован и фонарные группы «ФК», «Отражение на ЛС» = «зеленый») формуляра «Универсальный передаточный доку</w:t>
      </w:r>
      <w:r>
        <w:t xml:space="preserve">мент» с более поздней версией изменения. Если формуляр с более поздней версией изменения найден, система выводит сообщение «В системе найден документ с более поздней версией». Дальнейшая обработка формуляра «Универсальный передаточный документ» недоступна.</w:t>
      </w:r>
      <w:r>
        <w:br/>
      </w:r>
      <w:r>
        <w:t xml:space="preserve">Если зарегистрированный формуляр «Универсальный передаточный документ» с более поздней версией изменения не найден – проверка пройдена успешно;</w:t>
      </w:r>
      <w:r/>
    </w:p>
    <w:p>
      <w:pPr>
        <w:pStyle w:val="977"/>
      </w:pPr>
      <w:r>
        <w:t xml:space="preserve">на наличие </w:t>
      </w:r>
      <w:r>
        <w:t xml:space="preserve">формуляров</w:t>
      </w:r>
      <w:r>
        <w:t xml:space="preserve"> «Сведения о бюджетном обязательстве»/«Сведения о денежном обязательс</w:t>
      </w:r>
      <w:r>
        <w:t xml:space="preserve">тве» в статусе «Утвержден» (фонарная группа «ФК» = «зеленый») по ранее предоставленному формуляру «Универсальный передаточный документ», если в обрабатываемом формуляре «Универсальный передаточный документ» не указан учетный номер БО/ДО. Если найден такой </w:t>
      </w:r>
      <w:r>
        <w:t xml:space="preserve">формуляров</w:t>
      </w:r>
      <w:r>
        <w:t xml:space="preserve"> «Сведения о бюджетном обязательстве»/«Сведения о денежном обязательстве», ПУР ЭБ выводит сообщение «В документе не указан учетный номер БО/ДО». Дальнейшая обработка формуляра «Универсальный передаточный документ» недоступна.</w:t>
      </w:r>
      <w:r/>
    </w:p>
    <w:p>
      <w:pPr>
        <w:pStyle w:val="977"/>
        <w:numPr>
          <w:ilvl w:val="0"/>
          <w:numId w:val="0"/>
        </w:numPr>
        <w:ind w:left="1134"/>
        <w:tabs>
          <w:tab w:val="left" w:pos="708" w:leader="none"/>
        </w:tabs>
      </w:pPr>
      <w:r>
        <w:t xml:space="preserve">Если не найден </w:t>
      </w:r>
      <w:r>
        <w:t xml:space="preserve">формуляр</w:t>
      </w:r>
      <w:r>
        <w:t xml:space="preserve"> «Сведения о бюджетном обязательстве»/«Сведения о денежном обязательстве» – проверка пройдена успешно.</w:t>
      </w:r>
      <w:r/>
    </w:p>
    <w:p>
      <w:pPr>
        <w:pStyle w:val="985"/>
      </w:pPr>
      <w:r>
        <w:t xml:space="preserve">Требуется предусмотреть возможность отзыва формуляра «Универсальный передаточный документ» Клиен</w:t>
      </w:r>
      <w:r>
        <w:t xml:space="preserve">том только тех документов, которые импортированы Клиентами в ПУР ЭБ. Для обеспечения возможности отзыва формуляр должен находиться в одном из статусов: «На согласовании», «На утверждении», «Утвержден» («На согласовании ФК»), иначе кнопка «Отзыв» неактивна.</w:t>
      </w:r>
      <w:r/>
    </w:p>
    <w:p>
      <w:pPr>
        <w:pStyle w:val="985"/>
      </w:pPr>
      <w:r>
        <w:t xml:space="preserve">Отзыв экземпляра формуляра «Универсальный передаточный документ» осуществляется посредством выделения нужного экземпляра формуляра на списковой форме и нажатия кнопки «Отозвать» на панели инструментов с обязательным указанием причины отзыва. Причина отзыв</w:t>
      </w:r>
      <w:r>
        <w:t xml:space="preserve">а записывается в реквизит «Причина отзыва» на визуальной форме в разделе «Основная информация». Реквизит «Причина отзыва» становится виден, когда документ отзывается пользователем Клиента (т.е. переходит в статус «Отозван») и недоступен для редактирования.</w:t>
      </w:r>
      <w:r/>
    </w:p>
    <w:p>
      <w:pPr>
        <w:pStyle w:val="985"/>
      </w:pPr>
      <w:r>
        <w:t xml:space="preserve">При активизации кнопки на экранной форме формуляра отображается поле «Причина отзыва» на вкладке «Универсальный передаточный документ». Если причина отзыва не указана, то с формуляром никакие изменения не происходят.</w:t>
      </w:r>
      <w:r/>
    </w:p>
    <w:p>
      <w:pPr>
        <w:pStyle w:val="985"/>
      </w:pPr>
      <w:r>
        <w:t xml:space="preserve">Если причина отзыва указана, то при сохранении формуляра статус формуляра автоматически меняется на «Отозван». Поле «Причина отзыва» становится недоступным для редактирования.</w:t>
      </w:r>
      <w:r/>
    </w:p>
    <w:p>
      <w:pPr>
        <w:pStyle w:val="985"/>
      </w:pPr>
      <w:r>
        <w:t xml:space="preserve">Для формул</w:t>
      </w:r>
      <w:r>
        <w:t xml:space="preserve">яра «Универсальный передаточный документ» на статусе «На согласовании» отзыв осуществляется пользователем Клиента с ролью Исполнителя, на статусе «На утверждении» – пользователем Клиента с ролью Исполнителя (при условии пропуска этапа согласования), иначе </w:t>
      </w:r>
      <w:r>
        <w:t xml:space="preserve">– </w:t>
      </w:r>
      <w:r>
        <w:t xml:space="preserve">пользователем с ролью Согласующий. Отозванный экземпляр формуляра переходит на статус «Отозван».</w:t>
      </w:r>
      <w:r/>
    </w:p>
    <w:p>
      <w:pPr>
        <w:pStyle w:val="985"/>
      </w:pPr>
      <w:r>
        <w:t xml:space="preserve">Пользователь Клиента с ролью Исполнителя может взять документ в работу посредством выделения экземпляра формуляра на списковой форме и нажатия на </w:t>
      </w:r>
      <w:r>
        <w:t xml:space="preserve">кнопку «</w:t>
      </w:r>
      <w:r>
        <w:t xml:space="preserve">Взять в работу» на панели инструментов. После этого экземпляр формуляра меняет статус на «Новый». Реквизит «Причина отзыва» зачищается и не отображается на визуальной форме.</w:t>
      </w:r>
      <w:r>
        <w:t xml:space="preserve"> </w:t>
      </w:r>
      <w:r>
        <w:t xml:space="preserve">Кноп</w:t>
      </w:r>
      <w:r>
        <w:t xml:space="preserve">ка «Взять в работу» отображается при выделении документов на списковой форме формуляра «Универсальный передаточный документ» на статусе «Отозван», которые находятся в фильтр-папках «Все документы (клиент)» и «Отозванные» (отображаются только для Клиентов).</w:t>
      </w:r>
      <w:r/>
    </w:p>
    <w:p>
      <w:pPr>
        <w:pStyle w:val="986"/>
      </w:pPr>
      <w:r>
        <w:t xml:space="preserve">Для формуляра на статусе «Утвержден» (экзе</w:t>
      </w:r>
      <w:r>
        <w:t xml:space="preserve">мпляр формуляра утвержден на стороне Клиента) и по которому еще не принято положительное решение ТОФК (т.е. не выполнено действие «Поставить на учет обязательства»), отзыв осуществляется пользователем Клиента с ролью Утверждающего, по результатам которого:</w:t>
      </w:r>
      <w:r/>
    </w:p>
    <w:p>
      <w:pPr>
        <w:pStyle w:val="976"/>
      </w:pPr>
      <w:r>
        <w:t xml:space="preserve">отозванный экземпляр формуляра переходит на статус «Отозван» и отображается в фильтр-папках «Все документы» и «Отозванные» (для Клиентов и для сотрудников ФК);</w:t>
      </w:r>
      <w:r/>
    </w:p>
    <w:p>
      <w:pPr>
        <w:pStyle w:val="976"/>
      </w:pPr>
      <w:r>
        <w:t xml:space="preserve">на списковой форме индикатор фонарной группы «ФК» меняет цвет с желтого на серый;</w:t>
      </w:r>
      <w:r/>
    </w:p>
    <w:p>
      <w:pPr>
        <w:pStyle w:val="976"/>
      </w:pPr>
      <w:r>
        <w:t xml:space="preserve">нажатие на </w:t>
      </w:r>
      <w:r>
        <w:t xml:space="preserve">кнопку «</w:t>
      </w:r>
      <w:r>
        <w:t xml:space="preserve">Взять в работу» возможно только 1 раз.</w:t>
      </w:r>
      <w:r/>
    </w:p>
    <w:p>
      <w:pPr>
        <w:pStyle w:val="985"/>
      </w:pPr>
      <w:r>
        <w:t xml:space="preserve">В рамках выполнения бизнес-процесса «Предоставление документа «Универсальный передаточный документ» на основании УПД на стороне Клиента» осуществляется е</w:t>
      </w:r>
      <w:r>
        <w:t xml:space="preserve">го изменение в части разработки автоматизированного контроля банковских реквизитов продавца (контрагента-клиента ТОФК) в соответствии со справочником «Книга регистрации казначейских счетов» в случае наступления даты начала действия функциональности по СКП.</w:t>
      </w:r>
      <w:r/>
    </w:p>
    <w:p>
      <w:pPr>
        <w:pStyle w:val="962"/>
        <w:ind w:left="851" w:hanging="851"/>
        <w:tabs>
          <w:tab w:val="clear" w:pos="576" w:leader="none"/>
        </w:tabs>
      </w:pPr>
      <w:r/>
      <w:bookmarkStart w:id="156" w:name="_Ref304631"/>
      <w:r/>
      <w:bookmarkStart w:id="157" w:name="_Toc40995600"/>
      <w:r/>
      <w:bookmarkStart w:id="158" w:name="_Toc62446039"/>
      <w:r>
        <w:t xml:space="preserve">Бизнес-процесс «Создание и обработка ЗКР, сформированных на основании УПД, на стороне Клиента»</w:t>
      </w:r>
      <w:bookmarkEnd w:id="156"/>
      <w:r/>
      <w:bookmarkEnd w:id="157"/>
      <w:r/>
      <w:bookmarkEnd w:id="158"/>
      <w:r/>
      <w:r/>
    </w:p>
    <w:p>
      <w:pPr>
        <w:pStyle w:val="985"/>
      </w:pPr>
      <w:r>
        <w:t xml:space="preserve">В рамках выполнения бизнес-процесса «Создание и обработка ЗКР, сформированных на основании УПД, на стороне Клиента» по результатам успешной постановки на учет формуляров «Сведения о </w:t>
      </w:r>
      <w:r>
        <w:t xml:space="preserve">бюджетном обязательстве</w:t>
      </w:r>
      <w:r>
        <w:t xml:space="preserve">»/«Сведения о </w:t>
      </w:r>
      <w:r>
        <w:t xml:space="preserve">денежном обязательстве</w:t>
      </w:r>
      <w:r>
        <w:t xml:space="preserve">», сформированных на основании формуляра «Универсальный передаточный документ», осуществляется автоматическое формирование ЗКР.</w:t>
      </w:r>
      <w:r/>
    </w:p>
    <w:p>
      <w:pPr>
        <w:pStyle w:val="985"/>
      </w:pPr>
      <w:r>
        <w:t xml:space="preserve">Сформированные ЗКР отражаются в </w:t>
      </w:r>
      <w:r>
        <w:t xml:space="preserve">ЛК</w:t>
      </w:r>
      <w:r>
        <w:t xml:space="preserve"> ПБС на статусе «Сформирован». На указанном статусе в ЗКР возможно внесение изменений в поле «сумма НДС» и поля раздела 5 «Расшифровка заявки на кассовый</w:t>
      </w:r>
      <w:r>
        <w:t xml:space="preserve"> расход». При необходимости Клиентом редактируются перечисленные реквизиты, далее ЗКР согласовывается, утверждается и подписывается ЭП уполномоченными лицами ПБС в соответствии с листом согласования. После утверждения ЗКР переводится на статус «Утвержден».</w:t>
      </w:r>
      <w:r/>
    </w:p>
    <w:p>
      <w:pPr>
        <w:pStyle w:val="985"/>
      </w:pPr>
      <w:r>
        <w:t xml:space="preserve">В процессе согласования или утверждения уполномоченные лица ПБС мо</w:t>
      </w:r>
      <w:r>
        <w:t xml:space="preserve">гут отклонить согласование или утверждение и вернуть документ на обработку специалисту ПБС. В результате ЗКР перейдет на статус «Отклонен». Документ может быть отредактирован в части полей, указанных выше, и направлен на повторное согласование/утверждение.</w:t>
      </w:r>
      <w:r/>
    </w:p>
    <w:p>
      <w:pPr>
        <w:pStyle w:val="961"/>
        <w:rPr>
          <w:rFonts w:ascii="Times New Roman Полужирный" w:hAnsi="Times New Roman Полужирный"/>
        </w:rPr>
      </w:pPr>
      <w:r/>
      <w:bookmarkStart w:id="159" w:name="_Toc27513686"/>
      <w:r/>
      <w:bookmarkStart w:id="160" w:name="_Toc27513727"/>
      <w:r/>
      <w:bookmarkStart w:id="161" w:name="_Toc28186583"/>
      <w:r/>
      <w:bookmarkStart w:id="162" w:name="_Toc28696792"/>
      <w:r/>
      <w:bookmarkStart w:id="163" w:name="_Toc29804024"/>
      <w:r/>
      <w:bookmarkStart w:id="164" w:name="_Toc29804061"/>
      <w:r/>
      <w:bookmarkStart w:id="165" w:name="_Toc29830859"/>
      <w:r/>
      <w:bookmarkStart w:id="166" w:name="_Toc29904733"/>
      <w:r/>
      <w:bookmarkStart w:id="167" w:name="_Toc29904876"/>
      <w:r/>
      <w:bookmarkStart w:id="168" w:name="_Toc27513687"/>
      <w:r/>
      <w:bookmarkStart w:id="169" w:name="_Toc27513728"/>
      <w:r/>
      <w:bookmarkStart w:id="170" w:name="_Toc28186584"/>
      <w:r/>
      <w:bookmarkStart w:id="171" w:name="_Toc28696793"/>
      <w:r/>
      <w:bookmarkStart w:id="172" w:name="_Toc29804025"/>
      <w:r/>
      <w:bookmarkStart w:id="173" w:name="_Toc29804062"/>
      <w:r/>
      <w:bookmarkStart w:id="174" w:name="_Toc29830860"/>
      <w:r/>
      <w:bookmarkStart w:id="175" w:name="_Toc29904734"/>
      <w:r/>
      <w:bookmarkStart w:id="176" w:name="_Toc29904877"/>
      <w:r/>
      <w:bookmarkStart w:id="177" w:name="_Toc27513688"/>
      <w:r/>
      <w:bookmarkStart w:id="178" w:name="_Toc27513729"/>
      <w:r/>
      <w:bookmarkStart w:id="179" w:name="_Toc28186585"/>
      <w:r/>
      <w:bookmarkStart w:id="180" w:name="_Toc28696794"/>
      <w:r/>
      <w:bookmarkStart w:id="181" w:name="_Toc29804026"/>
      <w:r/>
      <w:bookmarkStart w:id="182" w:name="_Toc29804063"/>
      <w:r/>
      <w:bookmarkStart w:id="183" w:name="_Toc29830861"/>
      <w:r/>
      <w:bookmarkStart w:id="184" w:name="_Toc29904735"/>
      <w:r/>
      <w:bookmarkStart w:id="185" w:name="_Toc29904878"/>
      <w:r/>
      <w:bookmarkStart w:id="186" w:name="_Toc27513689"/>
      <w:r/>
      <w:bookmarkStart w:id="187" w:name="_Toc27513730"/>
      <w:r/>
      <w:bookmarkStart w:id="188" w:name="_Toc28186586"/>
      <w:r/>
      <w:bookmarkStart w:id="189" w:name="_Toc28696795"/>
      <w:r/>
      <w:bookmarkStart w:id="190" w:name="_Toc29804027"/>
      <w:r/>
      <w:bookmarkStart w:id="191" w:name="_Toc29804064"/>
      <w:r/>
      <w:bookmarkStart w:id="192" w:name="_Toc29830862"/>
      <w:r/>
      <w:bookmarkStart w:id="193" w:name="_Toc29904736"/>
      <w:r/>
      <w:bookmarkStart w:id="194" w:name="_Toc29904879"/>
      <w:r/>
      <w:bookmarkStart w:id="195" w:name="_Toc27513690"/>
      <w:r/>
      <w:bookmarkStart w:id="196" w:name="_Toc27513731"/>
      <w:r/>
      <w:bookmarkStart w:id="197" w:name="_Toc28186587"/>
      <w:r/>
      <w:bookmarkStart w:id="198" w:name="_Toc28696796"/>
      <w:r/>
      <w:bookmarkStart w:id="199" w:name="_Toc29804028"/>
      <w:r/>
      <w:bookmarkStart w:id="200" w:name="_Toc29804065"/>
      <w:r/>
      <w:bookmarkStart w:id="201" w:name="_Toc29830863"/>
      <w:r/>
      <w:bookmarkStart w:id="202" w:name="_Toc29904737"/>
      <w:r/>
      <w:bookmarkStart w:id="203" w:name="_Toc29904880"/>
      <w:r/>
      <w:bookmarkStart w:id="204" w:name="_Toc27513691"/>
      <w:r/>
      <w:bookmarkStart w:id="205" w:name="_Toc27513732"/>
      <w:r/>
      <w:bookmarkStart w:id="206" w:name="_Toc28186588"/>
      <w:r/>
      <w:bookmarkStart w:id="207" w:name="_Toc28696797"/>
      <w:r/>
      <w:bookmarkStart w:id="208" w:name="_Toc29804029"/>
      <w:r/>
      <w:bookmarkStart w:id="209" w:name="_Toc29804066"/>
      <w:r/>
      <w:bookmarkStart w:id="210" w:name="_Toc29830864"/>
      <w:r/>
      <w:bookmarkStart w:id="211" w:name="_Toc29904738"/>
      <w:r/>
      <w:bookmarkStart w:id="212" w:name="_Toc29904881"/>
      <w:r/>
      <w:bookmarkStart w:id="213" w:name="_Toc27513692"/>
      <w:r/>
      <w:bookmarkStart w:id="214" w:name="_Toc27513733"/>
      <w:r/>
      <w:bookmarkStart w:id="215" w:name="_Toc28186589"/>
      <w:r/>
      <w:bookmarkStart w:id="216" w:name="_Toc28696798"/>
      <w:r/>
      <w:bookmarkStart w:id="217" w:name="_Toc29804030"/>
      <w:r/>
      <w:bookmarkStart w:id="218" w:name="_Toc29804067"/>
      <w:r/>
      <w:bookmarkStart w:id="219" w:name="_Toc29830865"/>
      <w:r/>
      <w:bookmarkStart w:id="220" w:name="_Toc29904739"/>
      <w:r/>
      <w:bookmarkStart w:id="221" w:name="_Toc29904882"/>
      <w:r/>
      <w:bookmarkStart w:id="222" w:name="_Toc27513693"/>
      <w:r/>
      <w:bookmarkStart w:id="223" w:name="_Toc27513734"/>
      <w:r/>
      <w:bookmarkStart w:id="224" w:name="_Toc28186590"/>
      <w:r/>
      <w:bookmarkStart w:id="225" w:name="_Toc28696799"/>
      <w:r/>
      <w:bookmarkStart w:id="226" w:name="_Toc29804031"/>
      <w:r/>
      <w:bookmarkStart w:id="227" w:name="_Toc29804068"/>
      <w:r/>
      <w:bookmarkStart w:id="228" w:name="_Toc29830866"/>
      <w:r/>
      <w:bookmarkStart w:id="229" w:name="_Toc29904740"/>
      <w:r/>
      <w:bookmarkStart w:id="230" w:name="_Toc29904883"/>
      <w:r/>
      <w:bookmarkStart w:id="231" w:name="_Toc27513694"/>
      <w:r/>
      <w:bookmarkStart w:id="232" w:name="_Toc27513735"/>
      <w:r/>
      <w:bookmarkStart w:id="233" w:name="_Toc28186591"/>
      <w:r/>
      <w:bookmarkStart w:id="234" w:name="_Toc28696800"/>
      <w:r/>
      <w:bookmarkStart w:id="235" w:name="_Toc29804032"/>
      <w:r/>
      <w:bookmarkStart w:id="236" w:name="_Toc29804069"/>
      <w:r/>
      <w:bookmarkStart w:id="237" w:name="_Toc29830867"/>
      <w:r/>
      <w:bookmarkStart w:id="238" w:name="_Toc29904741"/>
      <w:r/>
      <w:bookmarkStart w:id="239" w:name="_Toc29904884"/>
      <w:r/>
      <w:bookmarkStart w:id="240" w:name="_Toc27513695"/>
      <w:r/>
      <w:bookmarkStart w:id="241" w:name="_Toc27513736"/>
      <w:r/>
      <w:bookmarkStart w:id="242" w:name="_Toc28186592"/>
      <w:r/>
      <w:bookmarkStart w:id="243" w:name="_Toc28696801"/>
      <w:r/>
      <w:bookmarkStart w:id="244" w:name="_Toc29804033"/>
      <w:r/>
      <w:bookmarkStart w:id="245" w:name="_Toc29804070"/>
      <w:r/>
      <w:bookmarkStart w:id="246" w:name="_Toc29830868"/>
      <w:r/>
      <w:bookmarkStart w:id="247" w:name="_Toc29904742"/>
      <w:r/>
      <w:bookmarkStart w:id="248" w:name="_Toc29904885"/>
      <w:r/>
      <w:bookmarkStart w:id="249" w:name="_Toc27513696"/>
      <w:r/>
      <w:bookmarkStart w:id="250" w:name="_Toc27513737"/>
      <w:r/>
      <w:bookmarkStart w:id="251" w:name="_Toc28186593"/>
      <w:r/>
      <w:bookmarkStart w:id="252" w:name="_Toc28696802"/>
      <w:r/>
      <w:bookmarkStart w:id="253" w:name="_Toc29804034"/>
      <w:r/>
      <w:bookmarkStart w:id="254" w:name="_Toc29804071"/>
      <w:r/>
      <w:bookmarkStart w:id="255" w:name="_Toc29830869"/>
      <w:r/>
      <w:bookmarkStart w:id="256" w:name="_Toc29904743"/>
      <w:r/>
      <w:bookmarkStart w:id="257" w:name="_Toc29904886"/>
      <w:r/>
      <w:bookmarkStart w:id="258" w:name="_Toc27513697"/>
      <w:r/>
      <w:bookmarkStart w:id="259" w:name="_Toc27513738"/>
      <w:r/>
      <w:bookmarkStart w:id="260" w:name="_Toc28186594"/>
      <w:r/>
      <w:bookmarkStart w:id="261" w:name="_Toc28696803"/>
      <w:r/>
      <w:bookmarkStart w:id="262" w:name="_Toc29804035"/>
      <w:r/>
      <w:bookmarkStart w:id="263" w:name="_Toc29804072"/>
      <w:r/>
      <w:bookmarkStart w:id="264" w:name="_Toc29830870"/>
      <w:r/>
      <w:bookmarkStart w:id="265" w:name="_Toc29904744"/>
      <w:r/>
      <w:bookmarkStart w:id="266" w:name="_Toc29904887"/>
      <w:r/>
      <w:bookmarkStart w:id="267" w:name="_Toc1582665"/>
      <w:r/>
      <w:bookmarkStart w:id="268" w:name="_Toc1582735"/>
      <w:r/>
      <w:bookmarkStart w:id="269" w:name="_Toc3155791"/>
      <w:r/>
      <w:bookmarkStart w:id="270" w:name="_Toc1582666"/>
      <w:r/>
      <w:bookmarkStart w:id="271" w:name="_Toc1582736"/>
      <w:r/>
      <w:bookmarkStart w:id="272" w:name="_Toc3155792"/>
      <w:r/>
      <w:bookmarkStart w:id="273" w:name="_Toc1582667"/>
      <w:r/>
      <w:bookmarkStart w:id="274" w:name="_Toc1582737"/>
      <w:r/>
      <w:bookmarkStart w:id="275" w:name="_Toc3155793"/>
      <w:r/>
      <w:bookmarkStart w:id="276" w:name="_Toc1582668"/>
      <w:r/>
      <w:bookmarkStart w:id="277" w:name="_Toc1582738"/>
      <w:r/>
      <w:bookmarkStart w:id="278" w:name="_Toc3155794"/>
      <w:r/>
      <w:bookmarkStart w:id="279" w:name="_Toc1582669"/>
      <w:r/>
      <w:bookmarkStart w:id="280" w:name="_Toc1582739"/>
      <w:r/>
      <w:bookmarkStart w:id="281" w:name="_Toc3155795"/>
      <w:r/>
      <w:bookmarkStart w:id="282" w:name="_Toc1582670"/>
      <w:r/>
      <w:bookmarkStart w:id="283" w:name="_Toc1582740"/>
      <w:r/>
      <w:bookmarkStart w:id="284" w:name="_Toc3155796"/>
      <w:r/>
      <w:bookmarkStart w:id="285" w:name="_Toc1582671"/>
      <w:r/>
      <w:bookmarkStart w:id="286" w:name="_Toc1582741"/>
      <w:r/>
      <w:bookmarkStart w:id="287" w:name="_Toc3155797"/>
      <w:r/>
      <w:bookmarkStart w:id="288" w:name="_Toc1582672"/>
      <w:r/>
      <w:bookmarkStart w:id="289" w:name="_Toc1582742"/>
      <w:r/>
      <w:bookmarkStart w:id="290" w:name="_Toc3155798"/>
      <w:r/>
      <w:bookmarkStart w:id="291" w:name="_Toc1582673"/>
      <w:r/>
      <w:bookmarkStart w:id="292" w:name="_Toc1582743"/>
      <w:r/>
      <w:bookmarkStart w:id="293" w:name="_Toc3155799"/>
      <w:r/>
      <w:bookmarkStart w:id="294" w:name="_Toc1582674"/>
      <w:r/>
      <w:bookmarkStart w:id="295" w:name="_Toc1582744"/>
      <w:r/>
      <w:bookmarkStart w:id="296" w:name="_Toc3155800"/>
      <w:r/>
      <w:bookmarkStart w:id="297" w:name="_Toc535835631"/>
      <w:r/>
      <w:bookmarkStart w:id="298" w:name="_Toc535835632"/>
      <w:r/>
      <w:bookmarkStart w:id="299" w:name="_Toc535835633"/>
      <w:r/>
      <w:bookmarkStart w:id="300" w:name="_Toc535835634"/>
      <w:r/>
      <w:bookmarkStart w:id="301" w:name="_Toc535835635"/>
      <w:r/>
      <w:bookmarkStart w:id="302" w:name="_Toc535835636"/>
      <w:r/>
      <w:bookmarkStart w:id="303" w:name="_Toc535835637"/>
      <w:r/>
      <w:bookmarkStart w:id="304" w:name="_Toc535835638"/>
      <w:r/>
      <w:bookmarkStart w:id="305" w:name="_Toc535835639"/>
      <w:r/>
      <w:bookmarkStart w:id="306" w:name="_Toc535835640"/>
      <w:r/>
      <w:bookmarkStart w:id="307" w:name="_Toc535835641"/>
      <w:r/>
      <w:bookmarkStart w:id="308" w:name="_Toc535835642"/>
      <w:r/>
      <w:bookmarkStart w:id="309" w:name="_Toc535835643"/>
      <w:r/>
      <w:bookmarkStart w:id="310" w:name="_Toc535835644"/>
      <w:r/>
      <w:bookmarkStart w:id="311" w:name="_Toc535835645"/>
      <w:r/>
      <w:bookmarkStart w:id="312" w:name="_Toc535835646"/>
      <w:r/>
      <w:bookmarkStart w:id="313" w:name="_Toc535835647"/>
      <w:r/>
      <w:bookmarkStart w:id="314" w:name="_Toc535835648"/>
      <w:r/>
      <w:bookmarkStart w:id="315" w:name="_Toc535835649"/>
      <w:r/>
      <w:bookmarkStart w:id="316" w:name="_Toc535835650"/>
      <w:r/>
      <w:bookmarkStart w:id="317" w:name="_Toc535835651"/>
      <w:r/>
      <w:bookmarkStart w:id="318" w:name="_Toc535835652"/>
      <w:r/>
      <w:bookmarkStart w:id="319" w:name="_Toc535835653"/>
      <w:r/>
      <w:bookmarkStart w:id="320" w:name="_Toc535835654"/>
      <w:r/>
      <w:bookmarkStart w:id="321" w:name="_Toc535835655"/>
      <w:r/>
      <w:bookmarkStart w:id="322" w:name="_Toc535835656"/>
      <w:r/>
      <w:bookmarkStart w:id="323" w:name="_Toc535835657"/>
      <w:r/>
      <w:bookmarkStart w:id="324" w:name="_Toc535835658"/>
      <w:r/>
      <w:bookmarkStart w:id="325" w:name="_Toc535835659"/>
      <w:r/>
      <w:bookmarkStart w:id="326" w:name="_Toc535835660"/>
      <w:r/>
      <w:bookmarkStart w:id="327" w:name="_Toc535835661"/>
      <w:r/>
      <w:bookmarkStart w:id="328" w:name="_Toc535835662"/>
      <w:r/>
      <w:bookmarkStart w:id="329" w:name="_Toc535835663"/>
      <w:r/>
      <w:bookmarkStart w:id="330" w:name="_Toc535835664"/>
      <w:r/>
      <w:bookmarkStart w:id="331" w:name="_Toc535835665"/>
      <w:r/>
      <w:bookmarkStart w:id="332" w:name="_Toc535835666"/>
      <w:r/>
      <w:bookmarkStart w:id="333" w:name="_Toc535835667"/>
      <w:r/>
      <w:bookmarkStart w:id="334" w:name="_Toc535835668"/>
      <w:r/>
      <w:bookmarkStart w:id="335" w:name="_Toc535835669"/>
      <w:r/>
      <w:bookmarkStart w:id="336" w:name="_Toc535835670"/>
      <w:r/>
      <w:bookmarkStart w:id="337" w:name="_Toc535835671"/>
      <w:r/>
      <w:bookmarkStart w:id="338" w:name="_Toc535835672"/>
      <w:r/>
      <w:bookmarkStart w:id="339" w:name="_Toc535835673"/>
      <w:r/>
      <w:bookmarkStart w:id="340" w:name="_Toc535835674"/>
      <w:r/>
      <w:bookmarkStart w:id="341" w:name="_Toc535835675"/>
      <w:r/>
      <w:bookmarkStart w:id="342" w:name="_Toc535835676"/>
      <w:r/>
      <w:bookmarkStart w:id="343" w:name="_Toc535835677"/>
      <w:r/>
      <w:bookmarkStart w:id="344" w:name="_Toc535835678"/>
      <w:r/>
      <w:bookmarkStart w:id="345" w:name="_Toc535835679"/>
      <w:r/>
      <w:bookmarkStart w:id="346" w:name="_Toc535835680"/>
      <w:r/>
      <w:bookmarkStart w:id="347" w:name="_Toc535835681"/>
      <w:r/>
      <w:bookmarkStart w:id="348" w:name="_Toc535835682"/>
      <w:r/>
      <w:bookmarkStart w:id="349" w:name="_Toc535835683"/>
      <w:r/>
      <w:bookmarkStart w:id="350" w:name="_Toc535835684"/>
      <w:r/>
      <w:bookmarkStart w:id="351" w:name="_Toc535835685"/>
      <w:r/>
      <w:bookmarkStart w:id="352" w:name="_Toc535835686"/>
      <w:r/>
      <w:bookmarkStart w:id="353" w:name="_Toc535835687"/>
      <w:r/>
      <w:bookmarkStart w:id="354" w:name="_Toc535835688"/>
      <w:r/>
      <w:bookmarkStart w:id="355" w:name="_Toc535835689"/>
      <w:r/>
      <w:bookmarkStart w:id="356" w:name="_Toc535835690"/>
      <w:r/>
      <w:bookmarkStart w:id="357" w:name="_Toc535835691"/>
      <w:r/>
      <w:bookmarkStart w:id="358" w:name="_Toc535835692"/>
      <w:r/>
      <w:bookmarkStart w:id="359" w:name="_Toc535835693"/>
      <w:r/>
      <w:bookmarkStart w:id="360" w:name="_Toc535835694"/>
      <w:r/>
      <w:bookmarkStart w:id="361" w:name="_Toc535835695"/>
      <w:r/>
      <w:bookmarkStart w:id="362" w:name="_Toc1582675"/>
      <w:r/>
      <w:bookmarkStart w:id="363" w:name="_Toc1582745"/>
      <w:r/>
      <w:bookmarkStart w:id="364" w:name="_Toc3155801"/>
      <w:r/>
      <w:bookmarkStart w:id="365" w:name="_Toc1582676"/>
      <w:r/>
      <w:bookmarkStart w:id="366" w:name="_Toc1582746"/>
      <w:r/>
      <w:bookmarkStart w:id="367" w:name="_Toc3155802"/>
      <w:r/>
      <w:bookmarkStart w:id="368" w:name="_Toc1582677"/>
      <w:r/>
      <w:bookmarkStart w:id="369" w:name="_Toc1582747"/>
      <w:r/>
      <w:bookmarkStart w:id="370" w:name="_Toc3155803"/>
      <w:r/>
      <w:bookmarkStart w:id="371" w:name="_Toc1582678"/>
      <w:r/>
      <w:bookmarkStart w:id="372" w:name="_Toc1582748"/>
      <w:r/>
      <w:bookmarkStart w:id="373" w:name="_Toc3155804"/>
      <w:r/>
      <w:bookmarkStart w:id="374" w:name="_Toc1582679"/>
      <w:r/>
      <w:bookmarkStart w:id="375" w:name="_Toc1582749"/>
      <w:r/>
      <w:bookmarkStart w:id="376" w:name="_Toc3155805"/>
      <w:r/>
      <w:bookmarkStart w:id="377" w:name="_Toc1582680"/>
      <w:r/>
      <w:bookmarkStart w:id="378" w:name="_Toc1582750"/>
      <w:r/>
      <w:bookmarkStart w:id="379" w:name="_Toc3155806"/>
      <w:r/>
      <w:bookmarkStart w:id="380" w:name="_Toc1582681"/>
      <w:r/>
      <w:bookmarkStart w:id="381" w:name="_Toc1582751"/>
      <w:r/>
      <w:bookmarkStart w:id="382" w:name="_Toc3155807"/>
      <w:r/>
      <w:bookmarkStart w:id="383" w:name="_Toc1582682"/>
      <w:r/>
      <w:bookmarkStart w:id="384" w:name="_Toc1582752"/>
      <w:r/>
      <w:bookmarkStart w:id="385" w:name="_Toc3155808"/>
      <w:r/>
      <w:bookmarkStart w:id="386" w:name="_Toc1582683"/>
      <w:r/>
      <w:bookmarkStart w:id="387" w:name="_Toc1582753"/>
      <w:r/>
      <w:bookmarkStart w:id="388" w:name="_Toc3155809"/>
      <w:r/>
      <w:bookmarkStart w:id="389" w:name="_Toc1582684"/>
      <w:r/>
      <w:bookmarkStart w:id="390" w:name="_Toc1582754"/>
      <w:r/>
      <w:bookmarkStart w:id="391" w:name="_Toc3155810"/>
      <w:r/>
      <w:bookmarkStart w:id="392" w:name="_Toc1582685"/>
      <w:r/>
      <w:bookmarkStart w:id="393" w:name="_Toc1582755"/>
      <w:r/>
      <w:bookmarkStart w:id="394" w:name="_Toc3155811"/>
      <w:r/>
      <w:bookmarkStart w:id="395" w:name="_Toc1582686"/>
      <w:r/>
      <w:bookmarkStart w:id="396" w:name="_Toc1582756"/>
      <w:r/>
      <w:bookmarkStart w:id="397" w:name="_Toc3155812"/>
      <w:r/>
      <w:bookmarkStart w:id="398" w:name="_Toc1582687"/>
      <w:r/>
      <w:bookmarkStart w:id="399" w:name="_Toc1582757"/>
      <w:r/>
      <w:bookmarkStart w:id="400" w:name="_Toc3155813"/>
      <w:r/>
      <w:bookmarkStart w:id="401" w:name="_Toc1582688"/>
      <w:r/>
      <w:bookmarkStart w:id="402" w:name="_Toc1582758"/>
      <w:r/>
      <w:bookmarkStart w:id="403" w:name="_Toc3155814"/>
      <w:r/>
      <w:bookmarkStart w:id="404" w:name="_Toc1582689"/>
      <w:r/>
      <w:bookmarkStart w:id="405" w:name="_Toc1582759"/>
      <w:r/>
      <w:bookmarkStart w:id="406" w:name="_Toc3155815"/>
      <w:r/>
      <w:bookmarkStart w:id="407" w:name="_Toc1582690"/>
      <w:r/>
      <w:bookmarkStart w:id="408" w:name="_Toc1582760"/>
      <w:r/>
      <w:bookmarkStart w:id="409" w:name="_Toc3155816"/>
      <w:r/>
      <w:bookmarkStart w:id="410" w:name="_Toc1582691"/>
      <w:r/>
      <w:bookmarkStart w:id="411" w:name="_Toc1582761"/>
      <w:r/>
      <w:bookmarkStart w:id="412" w:name="_Toc3155817"/>
      <w:r/>
      <w:bookmarkStart w:id="413" w:name="_Toc1582692"/>
      <w:r/>
      <w:bookmarkStart w:id="414" w:name="_Toc1582762"/>
      <w:r/>
      <w:bookmarkStart w:id="415" w:name="_Toc3155818"/>
      <w:r/>
      <w:bookmarkStart w:id="416" w:name="_Toc1582693"/>
      <w:r/>
      <w:bookmarkStart w:id="417" w:name="_Toc1582763"/>
      <w:r/>
      <w:bookmarkStart w:id="418" w:name="_Toc3155819"/>
      <w:r/>
      <w:bookmarkStart w:id="419" w:name="_Toc1582694"/>
      <w:r/>
      <w:bookmarkStart w:id="420" w:name="_Toc1582764"/>
      <w:r/>
      <w:bookmarkStart w:id="421" w:name="_Toc3155820"/>
      <w:r/>
      <w:bookmarkStart w:id="422" w:name="_Toc1582695"/>
      <w:r/>
      <w:bookmarkStart w:id="423" w:name="_Toc1582765"/>
      <w:r/>
      <w:bookmarkStart w:id="424" w:name="_Toc3155821"/>
      <w:r/>
      <w:bookmarkStart w:id="425" w:name="_Toc535835698"/>
      <w:r/>
      <w:bookmarkStart w:id="426" w:name="_Toc536215169"/>
      <w:r/>
      <w:bookmarkStart w:id="427" w:name="_Toc305141"/>
      <w:r/>
      <w:bookmarkStart w:id="428" w:name="_Toc535835699"/>
      <w:r/>
      <w:bookmarkStart w:id="429" w:name="_Toc536215170"/>
      <w:r/>
      <w:bookmarkStart w:id="430" w:name="_Toc305142"/>
      <w:r/>
      <w:bookmarkStart w:id="431" w:name="_Toc535835700"/>
      <w:r/>
      <w:bookmarkStart w:id="432" w:name="_Toc536215171"/>
      <w:r/>
      <w:bookmarkStart w:id="433" w:name="_Toc305143"/>
      <w:r/>
      <w:bookmarkStart w:id="434" w:name="_Toc535835701"/>
      <w:r/>
      <w:bookmarkStart w:id="435" w:name="_Toc536215172"/>
      <w:r/>
      <w:bookmarkStart w:id="436" w:name="_Toc305144"/>
      <w:r/>
      <w:bookmarkStart w:id="437" w:name="_Toc535835702"/>
      <w:r/>
      <w:bookmarkStart w:id="438" w:name="_Toc536215173"/>
      <w:r/>
      <w:bookmarkStart w:id="439" w:name="_Toc305145"/>
      <w:r/>
      <w:bookmarkStart w:id="440" w:name="_Toc535835703"/>
      <w:r/>
      <w:bookmarkStart w:id="441" w:name="_Toc536215174"/>
      <w:r/>
      <w:bookmarkStart w:id="442" w:name="_Toc305146"/>
      <w:r/>
      <w:bookmarkStart w:id="443" w:name="_Toc535835704"/>
      <w:r/>
      <w:bookmarkStart w:id="444" w:name="_Toc536215175"/>
      <w:r/>
      <w:bookmarkStart w:id="445" w:name="_Toc305147"/>
      <w:r/>
      <w:bookmarkStart w:id="446" w:name="_Toc535835705"/>
      <w:r/>
      <w:bookmarkStart w:id="447" w:name="_Toc536215176"/>
      <w:r/>
      <w:bookmarkStart w:id="448" w:name="_Toc305148"/>
      <w:r/>
      <w:bookmarkStart w:id="449" w:name="_Toc535835706"/>
      <w:r/>
      <w:bookmarkStart w:id="450" w:name="_Toc536215177"/>
      <w:r/>
      <w:bookmarkStart w:id="451" w:name="_Toc305149"/>
      <w:r/>
      <w:bookmarkStart w:id="452" w:name="_Toc535835707"/>
      <w:r/>
      <w:bookmarkStart w:id="453" w:name="_Toc536215178"/>
      <w:r/>
      <w:bookmarkStart w:id="454" w:name="_Toc305150"/>
      <w:r/>
      <w:bookmarkStart w:id="455" w:name="_Toc535835708"/>
      <w:r/>
      <w:bookmarkStart w:id="456" w:name="_Toc536215179"/>
      <w:r/>
      <w:bookmarkStart w:id="457" w:name="_Toc305151"/>
      <w:r/>
      <w:bookmarkStart w:id="458" w:name="_Toc535835709"/>
      <w:r/>
      <w:bookmarkStart w:id="459" w:name="_Toc536215180"/>
      <w:r/>
      <w:bookmarkStart w:id="460" w:name="_Toc305152"/>
      <w:r/>
      <w:bookmarkStart w:id="461" w:name="_Toc535835710"/>
      <w:r/>
      <w:bookmarkStart w:id="462" w:name="_Toc536215181"/>
      <w:r/>
      <w:bookmarkStart w:id="463" w:name="_Toc305153"/>
      <w:r/>
      <w:bookmarkStart w:id="464" w:name="_Toc1582696"/>
      <w:r/>
      <w:bookmarkStart w:id="465" w:name="_Toc1582766"/>
      <w:r/>
      <w:bookmarkStart w:id="466" w:name="_Toc3155822"/>
      <w:r/>
      <w:bookmarkStart w:id="467" w:name="_Toc1582697"/>
      <w:r/>
      <w:bookmarkStart w:id="468" w:name="_Toc1582767"/>
      <w:r/>
      <w:bookmarkStart w:id="469" w:name="_Toc3155823"/>
      <w:r/>
      <w:bookmarkStart w:id="470" w:name="_Toc1582698"/>
      <w:r/>
      <w:bookmarkStart w:id="471" w:name="_Toc1582768"/>
      <w:r/>
      <w:bookmarkStart w:id="472" w:name="_Toc3155824"/>
      <w:r/>
      <w:bookmarkStart w:id="473" w:name="_Toc1582699"/>
      <w:r/>
      <w:bookmarkStart w:id="474" w:name="_Toc1582769"/>
      <w:r/>
      <w:bookmarkStart w:id="475" w:name="_Toc3155825"/>
      <w:r/>
      <w:bookmarkStart w:id="476" w:name="_Toc1582700"/>
      <w:r/>
      <w:bookmarkStart w:id="477" w:name="_Toc1582770"/>
      <w:r/>
      <w:bookmarkStart w:id="478" w:name="_Toc3155826"/>
      <w:r/>
      <w:bookmarkStart w:id="479" w:name="_Toc1582701"/>
      <w:r/>
      <w:bookmarkStart w:id="480" w:name="_Toc1582771"/>
      <w:r/>
      <w:bookmarkStart w:id="481" w:name="_Toc3155827"/>
      <w:r/>
      <w:bookmarkStart w:id="482" w:name="_Toc1582702"/>
      <w:r/>
      <w:bookmarkStart w:id="483" w:name="_Toc1582772"/>
      <w:r/>
      <w:bookmarkStart w:id="484" w:name="_Toc3155828"/>
      <w:r/>
      <w:bookmarkStart w:id="485" w:name="_Toc1582703"/>
      <w:r/>
      <w:bookmarkStart w:id="486" w:name="_Toc1582773"/>
      <w:r/>
      <w:bookmarkStart w:id="487" w:name="_Toc3155829"/>
      <w:r/>
      <w:bookmarkStart w:id="488" w:name="_Toc1582704"/>
      <w:r/>
      <w:bookmarkStart w:id="489" w:name="_Toc1582774"/>
      <w:r/>
      <w:bookmarkStart w:id="490" w:name="_Toc3155830"/>
      <w:r/>
      <w:bookmarkStart w:id="491" w:name="_Toc1582705"/>
      <w:r/>
      <w:bookmarkStart w:id="492" w:name="_Toc1582775"/>
      <w:r/>
      <w:bookmarkStart w:id="493" w:name="_Toc3155831"/>
      <w:r/>
      <w:bookmarkStart w:id="494" w:name="_Toc1582706"/>
      <w:r/>
      <w:bookmarkStart w:id="495" w:name="_Toc1582776"/>
      <w:r/>
      <w:bookmarkStart w:id="496" w:name="_Toc3155832"/>
      <w:r/>
      <w:bookmarkStart w:id="497" w:name="_Toc1582707"/>
      <w:r/>
      <w:bookmarkStart w:id="498" w:name="_Toc1582777"/>
      <w:r/>
      <w:bookmarkStart w:id="499" w:name="_Toc3155833"/>
      <w:r/>
      <w:bookmarkStart w:id="500" w:name="_Toc1582708"/>
      <w:r/>
      <w:bookmarkStart w:id="501" w:name="_Toc1582778"/>
      <w:r/>
      <w:bookmarkStart w:id="502" w:name="_Toc3155834"/>
      <w:r/>
      <w:bookmarkStart w:id="503" w:name="_Toc1582709"/>
      <w:r/>
      <w:bookmarkStart w:id="504" w:name="_Toc1582779"/>
      <w:r/>
      <w:bookmarkStart w:id="505" w:name="_Toc3155835"/>
      <w:r/>
      <w:bookmarkStart w:id="506" w:name="_Toc1582710"/>
      <w:r/>
      <w:bookmarkStart w:id="507" w:name="_Toc1582780"/>
      <w:r/>
      <w:bookmarkStart w:id="508" w:name="_Toc3155836"/>
      <w:r/>
      <w:bookmarkStart w:id="509" w:name="_Toc1582711"/>
      <w:r/>
      <w:bookmarkStart w:id="510" w:name="_Toc1582781"/>
      <w:r/>
      <w:bookmarkStart w:id="511" w:name="_Toc3155837"/>
      <w:r/>
      <w:bookmarkStart w:id="512" w:name="_Toc533357916"/>
      <w:r/>
      <w:bookmarkStart w:id="513" w:name="_Toc533358746"/>
      <w:r/>
      <w:bookmarkStart w:id="514" w:name="_Toc533357917"/>
      <w:r/>
      <w:bookmarkStart w:id="515" w:name="_Toc533358747"/>
      <w:r/>
      <w:bookmarkStart w:id="516" w:name="_Toc533357922"/>
      <w:r/>
      <w:bookmarkStart w:id="517" w:name="_Toc533358752"/>
      <w:r/>
      <w:bookmarkStart w:id="518" w:name="_Toc533357923"/>
      <w:r/>
      <w:bookmarkStart w:id="519" w:name="_Toc533358753"/>
      <w:r/>
      <w:bookmarkStart w:id="520" w:name="_Toc533357927"/>
      <w:r/>
      <w:bookmarkStart w:id="521" w:name="_Toc533358757"/>
      <w:r/>
      <w:bookmarkStart w:id="522" w:name="_Toc533357928"/>
      <w:r/>
      <w:bookmarkStart w:id="523" w:name="_Toc533358758"/>
      <w:r/>
      <w:bookmarkStart w:id="524" w:name="_Toc533357929"/>
      <w:r/>
      <w:bookmarkStart w:id="525" w:name="_Toc533358759"/>
      <w:r/>
      <w:bookmarkStart w:id="526" w:name="_Toc533357930"/>
      <w:r/>
      <w:bookmarkStart w:id="527" w:name="_Toc533358760"/>
      <w:r/>
      <w:bookmarkStart w:id="528" w:name="_Toc533357931"/>
      <w:r/>
      <w:bookmarkStart w:id="529" w:name="_Toc533358761"/>
      <w:r/>
      <w:bookmarkStart w:id="530" w:name="_Toc533357932"/>
      <w:r/>
      <w:bookmarkStart w:id="531" w:name="_Toc533358762"/>
      <w:r/>
      <w:bookmarkStart w:id="532" w:name="_Toc533357933"/>
      <w:r/>
      <w:bookmarkStart w:id="533" w:name="_Toc533358763"/>
      <w:r/>
      <w:bookmarkStart w:id="534" w:name="_Toc533357934"/>
      <w:r/>
      <w:bookmarkStart w:id="535" w:name="_Toc533358764"/>
      <w:r/>
      <w:bookmarkStart w:id="536" w:name="_Toc533357939"/>
      <w:r/>
      <w:bookmarkStart w:id="537" w:name="_Toc533358769"/>
      <w:r/>
      <w:bookmarkStart w:id="538" w:name="_Toc533357940"/>
      <w:r/>
      <w:bookmarkStart w:id="539" w:name="_Toc533358770"/>
      <w:r/>
      <w:bookmarkStart w:id="540" w:name="_Toc533357941"/>
      <w:r/>
      <w:bookmarkStart w:id="541" w:name="_Toc533358771"/>
      <w:r/>
      <w:bookmarkStart w:id="542" w:name="_Toc533357944"/>
      <w:r/>
      <w:bookmarkStart w:id="543" w:name="_Toc533358774"/>
      <w:r/>
      <w:bookmarkStart w:id="544" w:name="_Toc533357945"/>
      <w:r/>
      <w:bookmarkStart w:id="545" w:name="_Toc533358775"/>
      <w:r/>
      <w:bookmarkStart w:id="546" w:name="_Toc533357946"/>
      <w:r/>
      <w:bookmarkStart w:id="547" w:name="_Toc533358776"/>
      <w:r/>
      <w:bookmarkStart w:id="548" w:name="_Toc533357947"/>
      <w:r/>
      <w:bookmarkStart w:id="549" w:name="_Toc533358777"/>
      <w:r/>
      <w:bookmarkStart w:id="550" w:name="_Toc533357949"/>
      <w:r/>
      <w:bookmarkStart w:id="551" w:name="_Toc533358779"/>
      <w:r/>
      <w:bookmarkStart w:id="552" w:name="_Toc533357951"/>
      <w:r/>
      <w:bookmarkStart w:id="553" w:name="_Toc533358781"/>
      <w:r/>
      <w:bookmarkStart w:id="554" w:name="_Toc533357952"/>
      <w:r/>
      <w:bookmarkStart w:id="555" w:name="_Toc533358782"/>
      <w:r/>
      <w:bookmarkStart w:id="556" w:name="_Toc533357953"/>
      <w:r/>
      <w:bookmarkStart w:id="557" w:name="_Toc533358783"/>
      <w:r/>
      <w:bookmarkStart w:id="558" w:name="_Toc533357955"/>
      <w:r/>
      <w:bookmarkStart w:id="559" w:name="_Toc533358785"/>
      <w:r/>
      <w:bookmarkStart w:id="560" w:name="_Toc533357956"/>
      <w:r/>
      <w:bookmarkStart w:id="561" w:name="_Toc533358786"/>
      <w:r/>
      <w:bookmarkStart w:id="562" w:name="_Toc533357957"/>
      <w:r/>
      <w:bookmarkStart w:id="563" w:name="_Toc533358787"/>
      <w:r/>
      <w:bookmarkStart w:id="564" w:name="_Toc533357958"/>
      <w:r/>
      <w:bookmarkStart w:id="565" w:name="_Toc533358788"/>
      <w:r/>
      <w:bookmarkStart w:id="566" w:name="_Toc533357959"/>
      <w:r/>
      <w:bookmarkStart w:id="567" w:name="_Toc533358789"/>
      <w:r/>
      <w:bookmarkStart w:id="568" w:name="_Toc533357962"/>
      <w:r/>
      <w:bookmarkStart w:id="569" w:name="_Toc533358792"/>
      <w:r/>
      <w:bookmarkStart w:id="570" w:name="_Toc533357963"/>
      <w:r/>
      <w:bookmarkStart w:id="571" w:name="_Toc533358793"/>
      <w:r/>
      <w:bookmarkStart w:id="572" w:name="_Toc533357964"/>
      <w:r/>
      <w:bookmarkStart w:id="573" w:name="_Toc533358794"/>
      <w:r/>
      <w:bookmarkStart w:id="574" w:name="_Toc533357965"/>
      <w:r/>
      <w:bookmarkStart w:id="575" w:name="_Toc533358795"/>
      <w:r/>
      <w:bookmarkStart w:id="576" w:name="_Toc533357966"/>
      <w:r/>
      <w:bookmarkStart w:id="577" w:name="_Toc533358796"/>
      <w:r/>
      <w:bookmarkStart w:id="578" w:name="_Toc533357967"/>
      <w:r/>
      <w:bookmarkStart w:id="579" w:name="_Toc533358797"/>
      <w:r/>
      <w:bookmarkStart w:id="580" w:name="_Toc533357974"/>
      <w:r/>
      <w:bookmarkStart w:id="581" w:name="_Toc533358804"/>
      <w:r/>
      <w:bookmarkStart w:id="582" w:name="_Toc533357977"/>
      <w:r/>
      <w:bookmarkStart w:id="583" w:name="_Toc533358807"/>
      <w:r/>
      <w:bookmarkStart w:id="584" w:name="_Toc533357978"/>
      <w:r/>
      <w:bookmarkStart w:id="585" w:name="_Toc533358808"/>
      <w:r/>
      <w:bookmarkStart w:id="586" w:name="_Toc533357979"/>
      <w:r/>
      <w:bookmarkStart w:id="587" w:name="_Toc533358809"/>
      <w:r/>
      <w:bookmarkStart w:id="588" w:name="_Toc533357981"/>
      <w:r/>
      <w:bookmarkStart w:id="589" w:name="_Toc533358811"/>
      <w:r/>
      <w:bookmarkStart w:id="590" w:name="_Toc533357982"/>
      <w:r/>
      <w:bookmarkStart w:id="591" w:name="_Toc533358812"/>
      <w:r/>
      <w:bookmarkStart w:id="592" w:name="_Toc533357983"/>
      <w:r/>
      <w:bookmarkStart w:id="593" w:name="_Toc533358813"/>
      <w:r/>
      <w:bookmarkStart w:id="594" w:name="_Toc533357984"/>
      <w:r/>
      <w:bookmarkStart w:id="595" w:name="_Toc533358814"/>
      <w:r/>
      <w:bookmarkStart w:id="596" w:name="_Toc533357987"/>
      <w:r/>
      <w:bookmarkStart w:id="597" w:name="_Toc533358817"/>
      <w:r/>
      <w:bookmarkStart w:id="598" w:name="_Toc533357991"/>
      <w:r/>
      <w:bookmarkStart w:id="599" w:name="_Toc533358821"/>
      <w:r/>
      <w:bookmarkStart w:id="600" w:name="_Toc533357999"/>
      <w:r/>
      <w:bookmarkStart w:id="601" w:name="_Toc533358829"/>
      <w:r/>
      <w:bookmarkStart w:id="602" w:name="_Toc533358003"/>
      <w:r/>
      <w:bookmarkStart w:id="603" w:name="_Toc533358833"/>
      <w:r/>
      <w:bookmarkStart w:id="604" w:name="_Toc533358018"/>
      <w:r/>
      <w:bookmarkStart w:id="605" w:name="_Toc533358848"/>
      <w:r/>
      <w:bookmarkStart w:id="606" w:name="_Toc533358019"/>
      <w:r/>
      <w:bookmarkStart w:id="607" w:name="_Toc533358849"/>
      <w:r/>
      <w:bookmarkStart w:id="608" w:name="_Toc533358021"/>
      <w:r/>
      <w:bookmarkStart w:id="609" w:name="_Toc533358851"/>
      <w:r/>
      <w:bookmarkStart w:id="610" w:name="_Toc533358022"/>
      <w:r/>
      <w:bookmarkStart w:id="611" w:name="_Toc533358852"/>
      <w:r/>
      <w:bookmarkStart w:id="612" w:name="_Toc533358029"/>
      <w:r/>
      <w:bookmarkStart w:id="613" w:name="_Toc533358859"/>
      <w:r/>
      <w:bookmarkStart w:id="614" w:name="_Toc533358030"/>
      <w:r/>
      <w:bookmarkStart w:id="615" w:name="_Toc533358860"/>
      <w:r/>
      <w:bookmarkStart w:id="616" w:name="_Toc533358031"/>
      <w:r/>
      <w:bookmarkStart w:id="617" w:name="_Toc533358861"/>
      <w:r/>
      <w:bookmarkStart w:id="618" w:name="_Toc533358035"/>
      <w:r/>
      <w:bookmarkStart w:id="619" w:name="_Toc533358865"/>
      <w:r/>
      <w:bookmarkStart w:id="620" w:name="_Toc533358037"/>
      <w:r/>
      <w:bookmarkStart w:id="621" w:name="_Toc533358867"/>
      <w:r/>
      <w:bookmarkStart w:id="622" w:name="_Toc533358038"/>
      <w:r/>
      <w:bookmarkStart w:id="623" w:name="_Toc533358868"/>
      <w:r/>
      <w:bookmarkStart w:id="624" w:name="_Toc533358040"/>
      <w:r/>
      <w:bookmarkStart w:id="625" w:name="_Toc533358870"/>
      <w:r/>
      <w:bookmarkStart w:id="626" w:name="_Toc533358041"/>
      <w:r/>
      <w:bookmarkStart w:id="627" w:name="_Toc533358871"/>
      <w:r/>
      <w:bookmarkStart w:id="628" w:name="_Toc533358049"/>
      <w:r/>
      <w:bookmarkStart w:id="629" w:name="_Toc533358879"/>
      <w:r/>
      <w:bookmarkStart w:id="630" w:name="_Toc62446040"/>
      <w:r/>
      <w:bookmarkStart w:id="631" w:name="_Ref64538705"/>
      <w:r/>
      <w:bookmarkEnd w:id="125"/>
      <w:r/>
      <w:bookmarkEnd w:id="159"/>
      <w:r/>
      <w:bookmarkEnd w:id="160"/>
      <w:r/>
      <w:bookmarkEnd w:id="161"/>
      <w:r/>
      <w:bookmarkEnd w:id="162"/>
      <w:r/>
      <w:bookmarkEnd w:id="163"/>
      <w:r/>
      <w:bookmarkEnd w:id="164"/>
      <w:r/>
      <w:bookmarkEnd w:id="165"/>
      <w:r/>
      <w:bookmarkEnd w:id="166"/>
      <w:r/>
      <w:bookmarkEnd w:id="167"/>
      <w:r/>
      <w:bookmarkEnd w:id="168"/>
      <w:r/>
      <w:bookmarkEnd w:id="169"/>
      <w:r/>
      <w:bookmarkEnd w:id="170"/>
      <w:r/>
      <w:bookmarkEnd w:id="171"/>
      <w:r/>
      <w:bookmarkEnd w:id="172"/>
      <w:r/>
      <w:bookmarkEnd w:id="173"/>
      <w:r/>
      <w:bookmarkEnd w:id="174"/>
      <w:r/>
      <w:bookmarkEnd w:id="175"/>
      <w:r/>
      <w:bookmarkEnd w:id="176"/>
      <w:r/>
      <w:bookmarkEnd w:id="177"/>
      <w:r/>
      <w:bookmarkEnd w:id="178"/>
      <w:r/>
      <w:bookmarkEnd w:id="179"/>
      <w:r/>
      <w:bookmarkEnd w:id="180"/>
      <w:r/>
      <w:bookmarkEnd w:id="181"/>
      <w:r/>
      <w:bookmarkEnd w:id="182"/>
      <w:r/>
      <w:bookmarkEnd w:id="183"/>
      <w:r/>
      <w:bookmarkEnd w:id="184"/>
      <w:r/>
      <w:bookmarkEnd w:id="185"/>
      <w:r/>
      <w:bookmarkEnd w:id="186"/>
      <w:r/>
      <w:bookmarkEnd w:id="187"/>
      <w:r/>
      <w:bookmarkEnd w:id="188"/>
      <w:r/>
      <w:bookmarkEnd w:id="189"/>
      <w:r/>
      <w:bookmarkEnd w:id="190"/>
      <w:r/>
      <w:bookmarkEnd w:id="191"/>
      <w:r/>
      <w:bookmarkEnd w:id="192"/>
      <w:r/>
      <w:bookmarkEnd w:id="193"/>
      <w:r/>
      <w:bookmarkEnd w:id="194"/>
      <w:r/>
      <w:bookmarkEnd w:id="195"/>
      <w:r/>
      <w:bookmarkEnd w:id="196"/>
      <w:r/>
      <w:bookmarkEnd w:id="197"/>
      <w:r/>
      <w:bookmarkEnd w:id="198"/>
      <w:r/>
      <w:bookmarkEnd w:id="199"/>
      <w:r/>
      <w:bookmarkEnd w:id="200"/>
      <w:r/>
      <w:bookmarkEnd w:id="201"/>
      <w:r/>
      <w:bookmarkEnd w:id="202"/>
      <w:r/>
      <w:bookmarkEnd w:id="203"/>
      <w:r/>
      <w:bookmarkEnd w:id="204"/>
      <w:r/>
      <w:bookmarkEnd w:id="205"/>
      <w:r/>
      <w:bookmarkEnd w:id="206"/>
      <w:r/>
      <w:bookmarkEnd w:id="207"/>
      <w:r/>
      <w:bookmarkEnd w:id="208"/>
      <w:r/>
      <w:bookmarkEnd w:id="209"/>
      <w:r/>
      <w:bookmarkEnd w:id="210"/>
      <w:r/>
      <w:bookmarkEnd w:id="211"/>
      <w:r/>
      <w:bookmarkEnd w:id="212"/>
      <w:r/>
      <w:bookmarkEnd w:id="213"/>
      <w:r/>
      <w:bookmarkEnd w:id="214"/>
      <w:r/>
      <w:bookmarkEnd w:id="215"/>
      <w:r/>
      <w:bookmarkEnd w:id="216"/>
      <w:r/>
      <w:bookmarkEnd w:id="217"/>
      <w:r/>
      <w:bookmarkEnd w:id="218"/>
      <w:r/>
      <w:bookmarkEnd w:id="219"/>
      <w:r/>
      <w:bookmarkEnd w:id="220"/>
      <w:r/>
      <w:bookmarkEnd w:id="221"/>
      <w:r/>
      <w:bookmarkEnd w:id="222"/>
      <w:r/>
      <w:bookmarkEnd w:id="223"/>
      <w:r/>
      <w:bookmarkEnd w:id="224"/>
      <w:r/>
      <w:bookmarkEnd w:id="225"/>
      <w:r/>
      <w:bookmarkEnd w:id="226"/>
      <w:r/>
      <w:bookmarkEnd w:id="227"/>
      <w:r/>
      <w:bookmarkEnd w:id="228"/>
      <w:r/>
      <w:bookmarkEnd w:id="229"/>
      <w:r/>
      <w:bookmarkEnd w:id="230"/>
      <w:r/>
      <w:bookmarkEnd w:id="231"/>
      <w:r/>
      <w:bookmarkEnd w:id="232"/>
      <w:r/>
      <w:bookmarkEnd w:id="233"/>
      <w:r/>
      <w:bookmarkEnd w:id="234"/>
      <w:r/>
      <w:bookmarkEnd w:id="235"/>
      <w:r/>
      <w:bookmarkEnd w:id="236"/>
      <w:r/>
      <w:bookmarkEnd w:id="237"/>
      <w:r/>
      <w:bookmarkEnd w:id="238"/>
      <w:r/>
      <w:bookmarkEnd w:id="239"/>
      <w:r/>
      <w:bookmarkEnd w:id="240"/>
      <w:r/>
      <w:bookmarkEnd w:id="241"/>
      <w:r/>
      <w:bookmarkEnd w:id="242"/>
      <w:r/>
      <w:bookmarkEnd w:id="243"/>
      <w:r/>
      <w:bookmarkEnd w:id="244"/>
      <w:r/>
      <w:bookmarkEnd w:id="245"/>
      <w:r/>
      <w:bookmarkEnd w:id="246"/>
      <w:r/>
      <w:bookmarkEnd w:id="247"/>
      <w:r/>
      <w:bookmarkEnd w:id="248"/>
      <w:r/>
      <w:bookmarkEnd w:id="249"/>
      <w:r/>
      <w:bookmarkEnd w:id="250"/>
      <w:r/>
      <w:bookmarkEnd w:id="251"/>
      <w:r/>
      <w:bookmarkEnd w:id="252"/>
      <w:r/>
      <w:bookmarkEnd w:id="253"/>
      <w:r/>
      <w:bookmarkEnd w:id="254"/>
      <w:r/>
      <w:bookmarkEnd w:id="255"/>
      <w:r/>
      <w:bookmarkEnd w:id="256"/>
      <w:r/>
      <w:bookmarkEnd w:id="257"/>
      <w:r/>
      <w:bookmarkEnd w:id="258"/>
      <w:r/>
      <w:bookmarkEnd w:id="259"/>
      <w:r/>
      <w:bookmarkEnd w:id="260"/>
      <w:r/>
      <w:bookmarkEnd w:id="261"/>
      <w:r/>
      <w:bookmarkEnd w:id="262"/>
      <w:r/>
      <w:bookmarkEnd w:id="263"/>
      <w:r/>
      <w:bookmarkEnd w:id="264"/>
      <w:r/>
      <w:bookmarkEnd w:id="265"/>
      <w:r/>
      <w:bookmarkEnd w:id="266"/>
      <w:r/>
      <w:bookmarkEnd w:id="267"/>
      <w:r/>
      <w:bookmarkEnd w:id="268"/>
      <w:r/>
      <w:bookmarkEnd w:id="269"/>
      <w:r/>
      <w:bookmarkEnd w:id="270"/>
      <w:r/>
      <w:bookmarkEnd w:id="271"/>
      <w:r/>
      <w:bookmarkEnd w:id="272"/>
      <w:r/>
      <w:bookmarkEnd w:id="273"/>
      <w:r/>
      <w:bookmarkEnd w:id="274"/>
      <w:r/>
      <w:bookmarkEnd w:id="275"/>
      <w:r/>
      <w:bookmarkEnd w:id="276"/>
      <w:r/>
      <w:bookmarkEnd w:id="277"/>
      <w:r/>
      <w:bookmarkEnd w:id="278"/>
      <w:r/>
      <w:bookmarkEnd w:id="279"/>
      <w:r/>
      <w:bookmarkEnd w:id="280"/>
      <w:r/>
      <w:bookmarkEnd w:id="281"/>
      <w:r/>
      <w:bookmarkEnd w:id="282"/>
      <w:r/>
      <w:bookmarkEnd w:id="283"/>
      <w:r/>
      <w:bookmarkEnd w:id="284"/>
      <w:r/>
      <w:bookmarkEnd w:id="285"/>
      <w:r/>
      <w:bookmarkEnd w:id="286"/>
      <w:r/>
      <w:bookmarkEnd w:id="287"/>
      <w:r/>
      <w:bookmarkEnd w:id="288"/>
      <w:r/>
      <w:bookmarkEnd w:id="289"/>
      <w:r/>
      <w:bookmarkEnd w:id="290"/>
      <w:r/>
      <w:bookmarkEnd w:id="291"/>
      <w:r/>
      <w:bookmarkEnd w:id="292"/>
      <w:r/>
      <w:bookmarkEnd w:id="293"/>
      <w:r/>
      <w:bookmarkEnd w:id="294"/>
      <w:r/>
      <w:bookmarkEnd w:id="295"/>
      <w:r/>
      <w:bookmarkEnd w:id="296"/>
      <w:r/>
      <w:bookmarkEnd w:id="297"/>
      <w:r/>
      <w:bookmarkEnd w:id="298"/>
      <w:r/>
      <w:bookmarkEnd w:id="299"/>
      <w:r/>
      <w:bookmarkEnd w:id="300"/>
      <w:r/>
      <w:bookmarkEnd w:id="301"/>
      <w:r/>
      <w:bookmarkEnd w:id="302"/>
      <w:r/>
      <w:bookmarkEnd w:id="303"/>
      <w:r/>
      <w:bookmarkEnd w:id="304"/>
      <w:r/>
      <w:bookmarkEnd w:id="305"/>
      <w:r/>
      <w:bookmarkEnd w:id="306"/>
      <w:r/>
      <w:bookmarkEnd w:id="307"/>
      <w:r/>
      <w:bookmarkEnd w:id="308"/>
      <w:r/>
      <w:bookmarkEnd w:id="309"/>
      <w:r/>
      <w:bookmarkEnd w:id="310"/>
      <w:r/>
      <w:bookmarkEnd w:id="311"/>
      <w:r/>
      <w:bookmarkEnd w:id="312"/>
      <w:r/>
      <w:bookmarkEnd w:id="313"/>
      <w:r/>
      <w:bookmarkEnd w:id="314"/>
      <w:r/>
      <w:bookmarkEnd w:id="315"/>
      <w:r/>
      <w:bookmarkEnd w:id="316"/>
      <w:r/>
      <w:bookmarkEnd w:id="317"/>
      <w:r/>
      <w:bookmarkEnd w:id="318"/>
      <w:r/>
      <w:bookmarkEnd w:id="319"/>
      <w:r/>
      <w:bookmarkEnd w:id="320"/>
      <w:r/>
      <w:bookmarkEnd w:id="321"/>
      <w:r/>
      <w:bookmarkEnd w:id="322"/>
      <w:r/>
      <w:bookmarkEnd w:id="323"/>
      <w:r/>
      <w:bookmarkEnd w:id="324"/>
      <w:r/>
      <w:bookmarkEnd w:id="325"/>
      <w:r/>
      <w:bookmarkEnd w:id="326"/>
      <w:r/>
      <w:bookmarkEnd w:id="327"/>
      <w:r/>
      <w:bookmarkEnd w:id="328"/>
      <w:r/>
      <w:bookmarkEnd w:id="329"/>
      <w:r/>
      <w:bookmarkEnd w:id="330"/>
      <w:r/>
      <w:bookmarkEnd w:id="331"/>
      <w:r/>
      <w:bookmarkEnd w:id="332"/>
      <w:r/>
      <w:bookmarkEnd w:id="333"/>
      <w:r/>
      <w:bookmarkEnd w:id="334"/>
      <w:r/>
      <w:bookmarkEnd w:id="335"/>
      <w:r/>
      <w:bookmarkEnd w:id="336"/>
      <w:r/>
      <w:bookmarkEnd w:id="337"/>
      <w:r/>
      <w:bookmarkEnd w:id="338"/>
      <w:r/>
      <w:bookmarkEnd w:id="339"/>
      <w:r/>
      <w:bookmarkEnd w:id="340"/>
      <w:r/>
      <w:bookmarkEnd w:id="341"/>
      <w:r/>
      <w:bookmarkEnd w:id="342"/>
      <w:r/>
      <w:bookmarkEnd w:id="343"/>
      <w:r/>
      <w:bookmarkEnd w:id="344"/>
      <w:r/>
      <w:bookmarkEnd w:id="345"/>
      <w:r/>
      <w:bookmarkEnd w:id="346"/>
      <w:r/>
      <w:bookmarkEnd w:id="347"/>
      <w:r/>
      <w:bookmarkEnd w:id="348"/>
      <w:r/>
      <w:bookmarkEnd w:id="349"/>
      <w:r/>
      <w:bookmarkEnd w:id="350"/>
      <w:r/>
      <w:bookmarkEnd w:id="351"/>
      <w:r/>
      <w:bookmarkEnd w:id="352"/>
      <w:r/>
      <w:bookmarkEnd w:id="353"/>
      <w:r/>
      <w:bookmarkEnd w:id="354"/>
      <w:r/>
      <w:bookmarkEnd w:id="355"/>
      <w:r/>
      <w:bookmarkEnd w:id="356"/>
      <w:r/>
      <w:bookmarkEnd w:id="357"/>
      <w:r/>
      <w:bookmarkEnd w:id="358"/>
      <w:r/>
      <w:bookmarkEnd w:id="359"/>
      <w:r/>
      <w:bookmarkEnd w:id="360"/>
      <w:r/>
      <w:bookmarkEnd w:id="361"/>
      <w:r/>
      <w:bookmarkEnd w:id="362"/>
      <w:r/>
      <w:bookmarkEnd w:id="363"/>
      <w:r/>
      <w:bookmarkEnd w:id="364"/>
      <w:r/>
      <w:bookmarkEnd w:id="365"/>
      <w:r/>
      <w:bookmarkEnd w:id="366"/>
      <w:r/>
      <w:bookmarkEnd w:id="367"/>
      <w:r/>
      <w:bookmarkEnd w:id="368"/>
      <w:r/>
      <w:bookmarkEnd w:id="369"/>
      <w:r/>
      <w:bookmarkEnd w:id="370"/>
      <w:r/>
      <w:bookmarkEnd w:id="371"/>
      <w:r/>
      <w:bookmarkEnd w:id="372"/>
      <w:r/>
      <w:bookmarkEnd w:id="373"/>
      <w:r/>
      <w:bookmarkEnd w:id="374"/>
      <w:r/>
      <w:bookmarkEnd w:id="375"/>
      <w:r/>
      <w:bookmarkEnd w:id="376"/>
      <w:r/>
      <w:bookmarkEnd w:id="377"/>
      <w:r/>
      <w:bookmarkEnd w:id="378"/>
      <w:r/>
      <w:bookmarkEnd w:id="379"/>
      <w:r/>
      <w:bookmarkEnd w:id="380"/>
      <w:r/>
      <w:bookmarkEnd w:id="381"/>
      <w:r/>
      <w:bookmarkEnd w:id="382"/>
      <w:r/>
      <w:bookmarkEnd w:id="383"/>
      <w:r/>
      <w:bookmarkEnd w:id="384"/>
      <w:r/>
      <w:bookmarkEnd w:id="385"/>
      <w:r/>
      <w:bookmarkEnd w:id="386"/>
      <w:r/>
      <w:bookmarkEnd w:id="387"/>
      <w:r/>
      <w:bookmarkEnd w:id="388"/>
      <w:r/>
      <w:bookmarkEnd w:id="389"/>
      <w:r/>
      <w:bookmarkEnd w:id="390"/>
      <w:r/>
      <w:bookmarkEnd w:id="391"/>
      <w:r/>
      <w:bookmarkEnd w:id="392"/>
      <w:r/>
      <w:bookmarkEnd w:id="393"/>
      <w:r/>
      <w:bookmarkEnd w:id="394"/>
      <w:r/>
      <w:bookmarkEnd w:id="395"/>
      <w:r/>
      <w:bookmarkEnd w:id="396"/>
      <w:r/>
      <w:bookmarkEnd w:id="397"/>
      <w:r/>
      <w:bookmarkEnd w:id="398"/>
      <w:r/>
      <w:bookmarkEnd w:id="399"/>
      <w:r/>
      <w:bookmarkEnd w:id="400"/>
      <w:r/>
      <w:bookmarkEnd w:id="401"/>
      <w:r/>
      <w:bookmarkEnd w:id="402"/>
      <w:r/>
      <w:bookmarkEnd w:id="403"/>
      <w:r/>
      <w:bookmarkEnd w:id="404"/>
      <w:r/>
      <w:bookmarkEnd w:id="405"/>
      <w:r/>
      <w:bookmarkEnd w:id="406"/>
      <w:r/>
      <w:bookmarkEnd w:id="407"/>
      <w:r/>
      <w:bookmarkEnd w:id="408"/>
      <w:r/>
      <w:bookmarkEnd w:id="409"/>
      <w:r/>
      <w:bookmarkEnd w:id="410"/>
      <w:r/>
      <w:bookmarkEnd w:id="411"/>
      <w:r/>
      <w:bookmarkEnd w:id="412"/>
      <w:r/>
      <w:bookmarkEnd w:id="413"/>
      <w:r/>
      <w:bookmarkEnd w:id="414"/>
      <w:r/>
      <w:bookmarkEnd w:id="415"/>
      <w:r/>
      <w:bookmarkEnd w:id="416"/>
      <w:r/>
      <w:bookmarkEnd w:id="417"/>
      <w:r/>
      <w:bookmarkEnd w:id="418"/>
      <w:r/>
      <w:bookmarkEnd w:id="419"/>
      <w:r/>
      <w:bookmarkEnd w:id="420"/>
      <w:r/>
      <w:bookmarkEnd w:id="421"/>
      <w:r/>
      <w:bookmarkEnd w:id="422"/>
      <w:r/>
      <w:bookmarkEnd w:id="423"/>
      <w:r/>
      <w:bookmarkEnd w:id="424"/>
      <w:r/>
      <w:bookmarkEnd w:id="425"/>
      <w:r/>
      <w:bookmarkEnd w:id="426"/>
      <w:r/>
      <w:bookmarkEnd w:id="427"/>
      <w:r/>
      <w:bookmarkEnd w:id="428"/>
      <w:r/>
      <w:bookmarkEnd w:id="429"/>
      <w:r/>
      <w:bookmarkEnd w:id="430"/>
      <w:r/>
      <w:bookmarkEnd w:id="431"/>
      <w:r/>
      <w:bookmarkEnd w:id="432"/>
      <w:r/>
      <w:bookmarkEnd w:id="433"/>
      <w:r/>
      <w:bookmarkEnd w:id="434"/>
      <w:r/>
      <w:bookmarkEnd w:id="435"/>
      <w:r/>
      <w:bookmarkEnd w:id="436"/>
      <w:r/>
      <w:bookmarkEnd w:id="437"/>
      <w:r/>
      <w:bookmarkEnd w:id="438"/>
      <w:r/>
      <w:bookmarkEnd w:id="439"/>
      <w:r/>
      <w:bookmarkEnd w:id="440"/>
      <w:r/>
      <w:bookmarkEnd w:id="441"/>
      <w:r/>
      <w:bookmarkEnd w:id="442"/>
      <w:r/>
      <w:bookmarkEnd w:id="443"/>
      <w:r/>
      <w:bookmarkEnd w:id="444"/>
      <w:r/>
      <w:bookmarkEnd w:id="445"/>
      <w:r/>
      <w:bookmarkEnd w:id="446"/>
      <w:r/>
      <w:bookmarkEnd w:id="447"/>
      <w:r/>
      <w:bookmarkEnd w:id="448"/>
      <w:r/>
      <w:bookmarkEnd w:id="449"/>
      <w:r/>
      <w:bookmarkEnd w:id="450"/>
      <w:r/>
      <w:bookmarkEnd w:id="451"/>
      <w:r/>
      <w:bookmarkEnd w:id="452"/>
      <w:r/>
      <w:bookmarkEnd w:id="453"/>
      <w:r/>
      <w:bookmarkEnd w:id="454"/>
      <w:r/>
      <w:bookmarkEnd w:id="455"/>
      <w:r/>
      <w:bookmarkEnd w:id="456"/>
      <w:r/>
      <w:bookmarkEnd w:id="457"/>
      <w:r/>
      <w:bookmarkEnd w:id="458"/>
      <w:r/>
      <w:bookmarkEnd w:id="459"/>
      <w:r/>
      <w:bookmarkEnd w:id="460"/>
      <w:r/>
      <w:bookmarkEnd w:id="461"/>
      <w:r/>
      <w:bookmarkEnd w:id="462"/>
      <w:r/>
      <w:bookmarkEnd w:id="463"/>
      <w:r/>
      <w:bookmarkEnd w:id="464"/>
      <w:r/>
      <w:bookmarkEnd w:id="465"/>
      <w:r/>
      <w:bookmarkEnd w:id="466"/>
      <w:r/>
      <w:bookmarkEnd w:id="467"/>
      <w:r/>
      <w:bookmarkEnd w:id="468"/>
      <w:r/>
      <w:bookmarkEnd w:id="469"/>
      <w:r/>
      <w:bookmarkEnd w:id="470"/>
      <w:r/>
      <w:bookmarkEnd w:id="471"/>
      <w:r/>
      <w:bookmarkEnd w:id="472"/>
      <w:r/>
      <w:bookmarkEnd w:id="473"/>
      <w:r/>
      <w:bookmarkEnd w:id="474"/>
      <w:r/>
      <w:bookmarkEnd w:id="475"/>
      <w:r/>
      <w:bookmarkEnd w:id="476"/>
      <w:r/>
      <w:bookmarkEnd w:id="477"/>
      <w:r/>
      <w:bookmarkEnd w:id="478"/>
      <w:r/>
      <w:bookmarkEnd w:id="479"/>
      <w:r/>
      <w:bookmarkEnd w:id="480"/>
      <w:r/>
      <w:bookmarkEnd w:id="481"/>
      <w:r/>
      <w:bookmarkEnd w:id="482"/>
      <w:r/>
      <w:bookmarkEnd w:id="483"/>
      <w:r/>
      <w:bookmarkEnd w:id="484"/>
      <w:r/>
      <w:bookmarkEnd w:id="485"/>
      <w:r/>
      <w:bookmarkEnd w:id="486"/>
      <w:r/>
      <w:bookmarkEnd w:id="487"/>
      <w:r/>
      <w:bookmarkEnd w:id="488"/>
      <w:r/>
      <w:bookmarkEnd w:id="489"/>
      <w:r/>
      <w:bookmarkEnd w:id="490"/>
      <w:r/>
      <w:bookmarkEnd w:id="491"/>
      <w:r/>
      <w:bookmarkEnd w:id="492"/>
      <w:r/>
      <w:bookmarkEnd w:id="493"/>
      <w:r/>
      <w:bookmarkEnd w:id="494"/>
      <w:r/>
      <w:bookmarkEnd w:id="495"/>
      <w:r/>
      <w:bookmarkEnd w:id="496"/>
      <w:r/>
      <w:bookmarkEnd w:id="497"/>
      <w:r/>
      <w:bookmarkEnd w:id="498"/>
      <w:r/>
      <w:bookmarkEnd w:id="499"/>
      <w:r/>
      <w:bookmarkEnd w:id="500"/>
      <w:r/>
      <w:bookmarkEnd w:id="501"/>
      <w:r/>
      <w:bookmarkEnd w:id="502"/>
      <w:r/>
      <w:bookmarkEnd w:id="503"/>
      <w:r/>
      <w:bookmarkEnd w:id="504"/>
      <w:r/>
      <w:bookmarkEnd w:id="505"/>
      <w:r/>
      <w:bookmarkEnd w:id="506"/>
      <w:r/>
      <w:bookmarkEnd w:id="507"/>
      <w:r/>
      <w:bookmarkEnd w:id="508"/>
      <w:r/>
      <w:bookmarkEnd w:id="509"/>
      <w:r/>
      <w:bookmarkEnd w:id="510"/>
      <w:r/>
      <w:bookmarkEnd w:id="511"/>
      <w:r/>
      <w:bookmarkEnd w:id="512"/>
      <w:r/>
      <w:bookmarkEnd w:id="513"/>
      <w:r/>
      <w:bookmarkEnd w:id="514"/>
      <w:r/>
      <w:bookmarkEnd w:id="515"/>
      <w:r/>
      <w:bookmarkEnd w:id="516"/>
      <w:r/>
      <w:bookmarkEnd w:id="517"/>
      <w:r/>
      <w:bookmarkEnd w:id="518"/>
      <w:r/>
      <w:bookmarkEnd w:id="519"/>
      <w:r/>
      <w:bookmarkEnd w:id="520"/>
      <w:r/>
      <w:bookmarkEnd w:id="521"/>
      <w:r/>
      <w:bookmarkEnd w:id="522"/>
      <w:r/>
      <w:bookmarkEnd w:id="523"/>
      <w:r/>
      <w:bookmarkEnd w:id="524"/>
      <w:r/>
      <w:bookmarkEnd w:id="525"/>
      <w:r/>
      <w:bookmarkEnd w:id="526"/>
      <w:r/>
      <w:bookmarkEnd w:id="527"/>
      <w:r/>
      <w:bookmarkEnd w:id="528"/>
      <w:r/>
      <w:bookmarkEnd w:id="529"/>
      <w:r/>
      <w:bookmarkEnd w:id="530"/>
      <w:r/>
      <w:bookmarkEnd w:id="531"/>
      <w:r/>
      <w:bookmarkEnd w:id="532"/>
      <w:r/>
      <w:bookmarkEnd w:id="533"/>
      <w:r/>
      <w:bookmarkEnd w:id="534"/>
      <w:r/>
      <w:bookmarkEnd w:id="535"/>
      <w:r/>
      <w:bookmarkEnd w:id="536"/>
      <w:r/>
      <w:bookmarkEnd w:id="537"/>
      <w:r/>
      <w:bookmarkEnd w:id="538"/>
      <w:r/>
      <w:bookmarkEnd w:id="539"/>
      <w:r/>
      <w:bookmarkEnd w:id="540"/>
      <w:r/>
      <w:bookmarkEnd w:id="541"/>
      <w:r/>
      <w:bookmarkEnd w:id="542"/>
      <w:r/>
      <w:bookmarkEnd w:id="543"/>
      <w:r/>
      <w:bookmarkEnd w:id="544"/>
      <w:r/>
      <w:bookmarkEnd w:id="545"/>
      <w:r/>
      <w:bookmarkEnd w:id="546"/>
      <w:r/>
      <w:bookmarkEnd w:id="547"/>
      <w:r/>
      <w:bookmarkEnd w:id="548"/>
      <w:r/>
      <w:bookmarkEnd w:id="549"/>
      <w:r/>
      <w:bookmarkEnd w:id="550"/>
      <w:r/>
      <w:bookmarkEnd w:id="551"/>
      <w:r/>
      <w:bookmarkEnd w:id="552"/>
      <w:r/>
      <w:bookmarkEnd w:id="553"/>
      <w:r/>
      <w:bookmarkEnd w:id="554"/>
      <w:r/>
      <w:bookmarkEnd w:id="555"/>
      <w:r/>
      <w:bookmarkEnd w:id="556"/>
      <w:r/>
      <w:bookmarkEnd w:id="557"/>
      <w:r/>
      <w:bookmarkEnd w:id="558"/>
      <w:r/>
      <w:bookmarkEnd w:id="559"/>
      <w:r/>
      <w:bookmarkEnd w:id="560"/>
      <w:r/>
      <w:bookmarkEnd w:id="561"/>
      <w:r/>
      <w:bookmarkEnd w:id="562"/>
      <w:r/>
      <w:bookmarkEnd w:id="563"/>
      <w:r/>
      <w:bookmarkEnd w:id="564"/>
      <w:r/>
      <w:bookmarkEnd w:id="565"/>
      <w:r/>
      <w:bookmarkEnd w:id="566"/>
      <w:r/>
      <w:bookmarkEnd w:id="567"/>
      <w:r/>
      <w:bookmarkEnd w:id="568"/>
      <w:r/>
      <w:bookmarkEnd w:id="569"/>
      <w:r/>
      <w:bookmarkEnd w:id="570"/>
      <w:r/>
      <w:bookmarkEnd w:id="571"/>
      <w:r/>
      <w:bookmarkEnd w:id="572"/>
      <w:r/>
      <w:bookmarkEnd w:id="573"/>
      <w:r/>
      <w:bookmarkEnd w:id="574"/>
      <w:r/>
      <w:bookmarkEnd w:id="575"/>
      <w:r/>
      <w:bookmarkEnd w:id="576"/>
      <w:r/>
      <w:bookmarkEnd w:id="577"/>
      <w:r/>
      <w:bookmarkEnd w:id="578"/>
      <w:r/>
      <w:bookmarkEnd w:id="579"/>
      <w:r/>
      <w:bookmarkEnd w:id="580"/>
      <w:r/>
      <w:bookmarkEnd w:id="581"/>
      <w:r/>
      <w:bookmarkEnd w:id="582"/>
      <w:r/>
      <w:bookmarkEnd w:id="583"/>
      <w:r/>
      <w:bookmarkEnd w:id="584"/>
      <w:r/>
      <w:bookmarkEnd w:id="585"/>
      <w:r/>
      <w:bookmarkEnd w:id="586"/>
      <w:r/>
      <w:bookmarkEnd w:id="587"/>
      <w:r/>
      <w:bookmarkEnd w:id="588"/>
      <w:r/>
      <w:bookmarkEnd w:id="589"/>
      <w:r/>
      <w:bookmarkEnd w:id="590"/>
      <w:r/>
      <w:bookmarkEnd w:id="591"/>
      <w:r/>
      <w:bookmarkEnd w:id="592"/>
      <w:r/>
      <w:bookmarkEnd w:id="593"/>
      <w:r/>
      <w:bookmarkEnd w:id="594"/>
      <w:r/>
      <w:bookmarkEnd w:id="595"/>
      <w:r/>
      <w:bookmarkEnd w:id="596"/>
      <w:r/>
      <w:bookmarkEnd w:id="597"/>
      <w:r/>
      <w:bookmarkEnd w:id="598"/>
      <w:r/>
      <w:bookmarkEnd w:id="599"/>
      <w:r/>
      <w:bookmarkEnd w:id="600"/>
      <w:r/>
      <w:bookmarkEnd w:id="601"/>
      <w:r/>
      <w:bookmarkEnd w:id="602"/>
      <w:r/>
      <w:bookmarkEnd w:id="603"/>
      <w:r/>
      <w:bookmarkEnd w:id="604"/>
      <w:r/>
      <w:bookmarkEnd w:id="605"/>
      <w:r/>
      <w:bookmarkEnd w:id="606"/>
      <w:r/>
      <w:bookmarkEnd w:id="607"/>
      <w:r/>
      <w:bookmarkEnd w:id="608"/>
      <w:r/>
      <w:bookmarkEnd w:id="609"/>
      <w:r/>
      <w:bookmarkEnd w:id="610"/>
      <w:r/>
      <w:bookmarkEnd w:id="611"/>
      <w:r/>
      <w:bookmarkEnd w:id="612"/>
      <w:r/>
      <w:bookmarkEnd w:id="613"/>
      <w:r/>
      <w:bookmarkEnd w:id="614"/>
      <w:r/>
      <w:bookmarkEnd w:id="615"/>
      <w:r/>
      <w:bookmarkEnd w:id="616"/>
      <w:r/>
      <w:bookmarkEnd w:id="617"/>
      <w:r/>
      <w:bookmarkEnd w:id="618"/>
      <w:r/>
      <w:bookmarkEnd w:id="619"/>
      <w:r/>
      <w:bookmarkEnd w:id="620"/>
      <w:r/>
      <w:bookmarkEnd w:id="621"/>
      <w:r/>
      <w:bookmarkEnd w:id="622"/>
      <w:r/>
      <w:bookmarkEnd w:id="623"/>
      <w:r/>
      <w:bookmarkEnd w:id="624"/>
      <w:r/>
      <w:bookmarkEnd w:id="625"/>
      <w:r/>
      <w:bookmarkEnd w:id="626"/>
      <w:r/>
      <w:bookmarkEnd w:id="627"/>
      <w:r/>
      <w:bookmarkEnd w:id="628"/>
      <w:r/>
      <w:bookmarkEnd w:id="629"/>
      <w:r>
        <w:rPr>
          <w:rFonts w:ascii="Times New Roman Полужирный" w:hAnsi="Times New Roman Полужирный"/>
        </w:rPr>
        <w:t xml:space="preserve">Описание последовательности действий работника</w:t>
      </w:r>
      <w:bookmarkEnd w:id="50"/>
      <w:r/>
      <w:bookmarkEnd w:id="51"/>
      <w:r/>
      <w:bookmarkEnd w:id="630"/>
      <w:r/>
      <w:bookmarkEnd w:id="631"/>
      <w:r/>
      <w:r/>
    </w:p>
    <w:p>
      <w:pPr>
        <w:pStyle w:val="962"/>
      </w:pPr>
      <w:r/>
      <w:bookmarkStart w:id="632" w:name="_Toc444863239"/>
      <w:r/>
      <w:bookmarkStart w:id="633" w:name="_Toc487019695"/>
      <w:r/>
      <w:bookmarkStart w:id="634" w:name="_Toc487028485"/>
      <w:r/>
      <w:bookmarkStart w:id="635" w:name="_Toc20229499"/>
      <w:r/>
      <w:bookmarkStart w:id="636" w:name="_Toc62446041"/>
      <w:r/>
      <w:bookmarkStart w:id="637" w:name="_Toc391395050"/>
      <w:r/>
      <w:bookmarkStart w:id="638" w:name="_Toc421735090"/>
      <w:r/>
      <w:bookmarkStart w:id="639" w:name="_Toc452115244"/>
      <w:r/>
      <w:bookmarkStart w:id="640" w:name="_Toc487019706"/>
      <w:r/>
      <w:bookmarkStart w:id="641" w:name="_Toc487028496"/>
      <w:r>
        <w:t xml:space="preserve">Запуск системы</w:t>
      </w:r>
      <w:bookmarkEnd w:id="632"/>
      <w:r/>
      <w:bookmarkEnd w:id="633"/>
      <w:r/>
      <w:bookmarkEnd w:id="634"/>
      <w:r/>
      <w:bookmarkEnd w:id="635"/>
      <w:r/>
      <w:bookmarkEnd w:id="636"/>
      <w:r/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642" w:name="_Ref366757751"/>
      <w:r/>
      <w:bookmarkStart w:id="643" w:name="_Toc368649088"/>
      <w:r/>
      <w:bookmarkStart w:id="644" w:name="_Toc371665991"/>
      <w:r/>
      <w:bookmarkStart w:id="645" w:name="_Toc436849416"/>
      <w:r/>
      <w:bookmarkStart w:id="646" w:name="_Toc487019696"/>
      <w:r/>
      <w:bookmarkStart w:id="647" w:name="_Toc487028486"/>
      <w:r/>
      <w:bookmarkStart w:id="648" w:name="_Toc20229500"/>
      <w:r/>
      <w:bookmarkStart w:id="649" w:name="_Toc62446042"/>
      <w:r>
        <w:t xml:space="preserve">Авторизация в Личном кабинете веб-портала, предоставляющего доступ пользователям к функциям ППО</w:t>
      </w:r>
      <w:bookmarkEnd w:id="642"/>
      <w:r/>
      <w:bookmarkEnd w:id="643"/>
      <w:r/>
      <w:bookmarkEnd w:id="644"/>
      <w:r/>
      <w:bookmarkEnd w:id="645"/>
      <w:r/>
      <w:bookmarkEnd w:id="646"/>
      <w:r/>
      <w:bookmarkEnd w:id="647"/>
      <w:r/>
      <w:bookmarkEnd w:id="648"/>
      <w:r/>
      <w:bookmarkEnd w:id="649"/>
      <w:r/>
      <w:r/>
    </w:p>
    <w:p>
      <w:pPr>
        <w:pStyle w:val="985"/>
      </w:pPr>
      <w:r>
        <w:t xml:space="preserve">Операция предназначена для обеспечения доступа пользователя</w:t>
      </w:r>
      <w:r>
        <w:t xml:space="preserve">м</w:t>
      </w:r>
      <w:r>
        <w:t xml:space="preserve"> к функциям ППО через интерфейс Личного кабинета веб-портала с использованием механизмов однократной авторизации (SSO).</w:t>
      </w:r>
      <w:r/>
    </w:p>
    <w:p>
      <w:pPr>
        <w:pStyle w:val="986"/>
      </w:pPr>
      <w:r>
        <w:t xml:space="preserve">Для выполнения операции необходимо выполнить следующие действия:</w:t>
      </w:r>
      <w:r/>
    </w:p>
    <w:p>
      <w:pPr>
        <w:pStyle w:val="1147"/>
        <w:numPr>
          <w:ilvl w:val="0"/>
          <w:numId w:val="90"/>
        </w:numPr>
      </w:pPr>
      <w:r>
        <w:t xml:space="preserve">Перейти в интернет-браузере в Личный кабинет пользователя. В результате откроется страница авторизации веб-портала (</w:t>
      </w:r>
      <w:r>
        <w:t xml:space="preserve">рис. </w:t>
      </w:r>
      <w:r>
        <w:fldChar w:fldCharType="begin"/>
      </w:r>
      <w:r>
        <w:instrText xml:space="preserve"> REF _Ref366070051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931285"/>
                <wp:effectExtent l="0" t="0" r="0" b="0"/>
                <wp:docPr id="1" name="Рисунок 27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120130" cy="3931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81.9pt;height:309.6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974"/>
      </w:pPr>
      <w:r/>
      <w:bookmarkStart w:id="650" w:name="_Ref492130118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51" w:name="_Ref366070051"/>
      <w:r/>
      <w:bookmarkStart w:id="652" w:name="_Toc494634392"/>
      <w:r/>
      <w:bookmarkStart w:id="653" w:name="_Toc37166330"/>
      <w:r/>
      <w:bookmarkStart w:id="654" w:name="_Toc59804456"/>
      <w:r>
        <w:t xml:space="preserve">1</w:t>
      </w:r>
      <w:bookmarkEnd w:id="651"/>
      <w:r>
        <w:fldChar w:fldCharType="end"/>
      </w:r>
      <w:r>
        <w:t xml:space="preserve">. Страница авторизации</w:t>
      </w:r>
      <w:bookmarkEnd w:id="650"/>
      <w:r/>
      <w:bookmarkEnd w:id="652"/>
      <w:r/>
      <w:bookmarkEnd w:id="653"/>
      <w:r/>
      <w:bookmarkEnd w:id="654"/>
      <w:r/>
      <w:r/>
    </w:p>
    <w:p>
      <w:pPr>
        <w:pStyle w:val="1147"/>
      </w:pPr>
      <w:r>
        <w:t xml:space="preserve">В открывшемся окне (см. </w:t>
      </w:r>
      <w:r>
        <w:t xml:space="preserve">рис. </w:t>
      </w:r>
      <w:r>
        <w:fldChar w:fldCharType="begin"/>
      </w:r>
      <w:r>
        <w:instrText xml:space="preserve"> REF _Ref366070051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) указать имя пользователя и пароль. Нажать </w:t>
      </w:r>
      <w:r>
        <w:t xml:space="preserve">кнопку «</w:t>
      </w:r>
      <w:r>
        <w:t xml:space="preserve">Войти».</w:t>
      </w:r>
      <w:r/>
    </w:p>
    <w:p>
      <w:pPr>
        <w:pStyle w:val="982"/>
      </w:pPr>
      <w:r>
        <w:t xml:space="preserve">После прохождения авторизации откроется главная страница Личного кабинета пользователя, пример внешнего вида которой представлен на рисунке </w:t>
      </w:r>
      <w:r>
        <w:fldChar w:fldCharType="begin"/>
      </w:r>
      <w:r>
        <w:instrText xml:space="preserve"> REF _Ref366070222 \h 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822065"/>
                <wp:effectExtent l="0" t="0" r="0" b="0"/>
                <wp:docPr id="2" name="Рисунок 2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120130" cy="3822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481.9pt;height:300.9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pStyle w:val="974"/>
      </w:pPr>
      <w:r/>
      <w:bookmarkStart w:id="655" w:name="_Ref492130128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56" w:name="_Ref366070222"/>
      <w:r/>
      <w:bookmarkStart w:id="657" w:name="_Toc494634393"/>
      <w:r/>
      <w:bookmarkStart w:id="658" w:name="_Toc37166331"/>
      <w:r/>
      <w:bookmarkStart w:id="659" w:name="_Toc59804457"/>
      <w:r>
        <w:t xml:space="preserve">2</w:t>
      </w:r>
      <w:bookmarkEnd w:id="656"/>
      <w:r>
        <w:fldChar w:fldCharType="end"/>
      </w:r>
      <w:r>
        <w:t xml:space="preserve">. Главная страница веб-портала</w:t>
      </w:r>
      <w:bookmarkEnd w:id="655"/>
      <w:r/>
      <w:bookmarkEnd w:id="657"/>
      <w:r/>
      <w:bookmarkEnd w:id="658"/>
      <w:r/>
      <w:bookmarkEnd w:id="659"/>
      <w:r/>
      <w:r/>
    </w:p>
    <w:p>
      <w:pPr>
        <w:pStyle w:val="985"/>
      </w:pPr>
      <w:r>
        <w:t xml:space="preserve">Подробные сведения о Личном кабинете пользователя приведены в документе «Руководство пользователя. Подсистема обеспечения интеграции, ведения реестров и формуляров системы «Электронный бюджет» (код докумен</w:t>
      </w:r>
      <w:r>
        <w:t xml:space="preserve">та: 54819512.20.13,00.09.005-1.0</w:t>
      </w:r>
      <w:r>
        <w:t xml:space="preserve"> 1).</w:t>
      </w:r>
      <w:r/>
    </w:p>
    <w:p>
      <w:pPr>
        <w:pStyle w:val="962"/>
      </w:pPr>
      <w:r/>
      <w:bookmarkStart w:id="660" w:name="_Toc20229501"/>
      <w:r/>
      <w:bookmarkStart w:id="661" w:name="_Toc62446043"/>
      <w:r/>
      <w:bookmarkStart w:id="662" w:name="_Ref517692435"/>
      <w:r>
        <w:t xml:space="preserve">Описание интерфейса, управляющих элементов и сообщений Компонента ДО ПУР ЭБ</w:t>
      </w:r>
      <w:bookmarkEnd w:id="660"/>
      <w:r/>
      <w:bookmarkEnd w:id="661"/>
      <w:r/>
      <w:r/>
    </w:p>
    <w:p>
      <w:pPr>
        <w:pStyle w:val="985"/>
      </w:pPr>
      <w:r>
        <w:t xml:space="preserve">Для работы с Подсистемой «Управление расходами» пользователю необходимо войти в «Личный кабинет пользователя» в интернет-браузере </w:t>
      </w:r>
      <w:r>
        <w:rPr>
          <w:lang w:val="en-US"/>
        </w:rPr>
        <w:t xml:space="preserve">Mozilla</w:t>
      </w:r>
      <w:r>
        <w:t xml:space="preserve"> </w:t>
      </w:r>
      <w:r>
        <w:rPr>
          <w:lang w:val="en-US"/>
        </w:rPr>
        <w:t xml:space="preserve">Firefox</w:t>
      </w:r>
      <w:r>
        <w:t xml:space="preserve"> версии 52.0 или выше.</w:t>
      </w:r>
      <w:r/>
    </w:p>
    <w:p>
      <w:pPr>
        <w:pStyle w:val="985"/>
      </w:pPr>
      <w:r>
        <w:t xml:space="preserve">Для просмотра перечня доступных документов пользователю необходимо нажать пункт «Меню» и слева на панели выбрать вкладку «Управление расходами», после чего на интерфейсе отобразится перечень доступных документов в подсистеме «Управление расходами» (</w:t>
      </w:r>
      <w:r>
        <w:t xml:space="preserve">рис. </w:t>
      </w:r>
      <w:r>
        <w:fldChar w:fldCharType="begin"/>
      </w:r>
      <w:r>
        <w:instrText xml:space="preserve"> REF _Ref486923476 \h </w:instrText>
      </w:r>
      <w:r>
        <w:fldChar w:fldCharType="separate"/>
      </w:r>
      <w:r>
        <w:t xml:space="preserve">3</w:t>
      </w:r>
      <w:r>
        <w:fldChar w:fldCharType="end"/>
      </w:r>
      <w:r>
        <w:t xml:space="preserve">).</w:t>
      </w:r>
      <w:r/>
    </w:p>
    <w:p>
      <w:pPr>
        <w:pStyle w:val="985"/>
      </w:pPr>
      <w:r>
        <w:t xml:space="preserve">Активировать нужный рабочий интерфейс можно, выбрав соответствующий пункт меню (например, списковая форма «Все документы») и щелкнув по нему левой кнопкой мыши (</w:t>
      </w:r>
      <w:r>
        <w:t xml:space="preserve">рис. </w:t>
      </w:r>
      <w:r>
        <w:fldChar w:fldCharType="begin"/>
      </w:r>
      <w:r>
        <w:instrText xml:space="preserve"> REF _Ref486923556 \h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).</w:t>
      </w:r>
      <w:r/>
    </w:p>
    <w:p>
      <w:pPr>
        <w:pStyle w:val="963"/>
      </w:pPr>
      <w:r/>
      <w:bookmarkStart w:id="663" w:name="_Toc487019700"/>
      <w:r/>
      <w:bookmarkStart w:id="664" w:name="_Toc487028490"/>
      <w:r/>
      <w:bookmarkStart w:id="665" w:name="_Ref17981948"/>
      <w:r/>
      <w:bookmarkStart w:id="666" w:name="_Toc20229502"/>
      <w:r/>
      <w:bookmarkStart w:id="667" w:name="_Ref38548331"/>
      <w:r/>
      <w:bookmarkStart w:id="668" w:name="_Toc62446044"/>
      <w:r>
        <w:t xml:space="preserve">Навигация</w:t>
      </w:r>
      <w:bookmarkEnd w:id="663"/>
      <w:r/>
      <w:bookmarkEnd w:id="664"/>
      <w:r/>
      <w:bookmarkEnd w:id="665"/>
      <w:r/>
      <w:bookmarkEnd w:id="666"/>
      <w:r/>
      <w:bookmarkEnd w:id="667"/>
      <w:r/>
      <w:bookmarkEnd w:id="668"/>
      <w:r/>
      <w:r/>
    </w:p>
    <w:p>
      <w:pPr>
        <w:pStyle w:val="985"/>
      </w:pPr>
      <w:r>
        <w:t xml:space="preserve">Раздел «Меню» (далее – </w:t>
      </w:r>
      <w:r>
        <w:t xml:space="preserve">Меню) служит для выбора вида деятельности. В Меню представлен список всех соответствующих подсистем. При выборе в Меню какой-либо подсистемы в рабочей области на вкладке «Формуляры» отображается в виде дерева навигации перечень доступных типов документов (</w:t>
      </w:r>
      <w:r>
        <w:t xml:space="preserve">рис. </w:t>
      </w:r>
      <w:r>
        <w:rPr>
          <w:szCs w:val="28"/>
        </w:rPr>
        <w:fldChar w:fldCharType="begin"/>
      </w:r>
      <w:r>
        <w:instrText xml:space="preserve"> REF _Ref486923476 \h </w:instrText>
      </w:r>
      <w:r>
        <w:rPr>
          <w:szCs w:val="28"/>
        </w:rPr>
        <w:fldChar w:fldCharType="separate"/>
      </w:r>
      <w:r>
        <w:t xml:space="preserve">3</w:t>
      </w:r>
      <w:r>
        <w:rPr>
          <w:szCs w:val="28"/>
        </w:rP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540250"/>
                <wp:effectExtent l="0" t="0" r="0" b="0"/>
                <wp:docPr id="3" name="Рисунок 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120130" cy="454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81.9pt;height:357.5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974"/>
      </w:pPr>
      <w:r/>
      <w:bookmarkStart w:id="669" w:name="_Ref486923476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70" w:name="_Toc20229550"/>
      <w:r/>
      <w:bookmarkStart w:id="671" w:name="_Toc59804458"/>
      <w:r>
        <w:t xml:space="preserve">3</w:t>
      </w:r>
      <w:r>
        <w:fldChar w:fldCharType="end"/>
      </w:r>
      <w:bookmarkEnd w:id="669"/>
      <w:r>
        <w:t xml:space="preserve">. Раздел «Меню». Вкладка «Формуляры»</w:t>
      </w:r>
      <w:bookmarkEnd w:id="670"/>
      <w:r/>
      <w:bookmarkEnd w:id="671"/>
      <w:r/>
      <w:r/>
    </w:p>
    <w:p>
      <w:pPr>
        <w:pStyle w:val="986"/>
      </w:pPr>
      <w:r>
        <w:t xml:space="preserve">Для перехода к списковой форме документов определенного вида необходимо выполнить следующие действия:</w:t>
      </w:r>
      <w:r/>
    </w:p>
    <w:p>
      <w:pPr>
        <w:pStyle w:val="1147"/>
        <w:numPr>
          <w:ilvl w:val="0"/>
          <w:numId w:val="12"/>
        </w:numPr>
      </w:pPr>
      <w:r>
        <w:t xml:space="preserve">На панели «Меню» выбрать вид деятельности («Управление расходами»).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перейти к искомому виду документов. </w:t>
      </w:r>
      <w:r>
        <w:t xml:space="preserve">Например, п</w:t>
      </w:r>
      <w:r>
        <w:t xml:space="preserve">ерейти по пути </w:t>
      </w:r>
      <w:r>
        <w:t xml:space="preserve">«</w:t>
      </w:r>
      <w:r>
        <w:t xml:space="preserve">Управление расходов – </w:t>
      </w:r>
      <w:r>
        <w:t xml:space="preserve">Все сервисы –</w:t>
      </w:r>
      <w:r>
        <w:t xml:space="preserve"> Управление расходами </w:t>
      </w:r>
      <w:r>
        <w:t xml:space="preserve">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Сведения о денежных обязательствах – Все документы</w:t>
      </w:r>
      <w:r>
        <w:t xml:space="preserve"> </w:t>
      </w:r>
      <w:r>
        <w:t xml:space="preserve">(Клиент)</w:t>
      </w:r>
      <w:r>
        <w:t xml:space="preserve">» (</w:t>
      </w:r>
      <w:r>
        <w:t xml:space="preserve">рис. </w:t>
      </w:r>
      <w:r>
        <w:fldChar w:fldCharType="begin"/>
      </w:r>
      <w:r>
        <w:instrText xml:space="preserve"> REF _Ref486923556 \h  \* MERGEFORMAT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). Откроется списковая форма всех документов «Сведения о денежных обязательствах»</w:t>
      </w:r>
      <w:r>
        <w:t xml:space="preserve"> (</w:t>
      </w:r>
      <w:r>
        <w:t xml:space="preserve">рис. </w:t>
      </w:r>
      <w:r>
        <w:fldChar w:fldCharType="begin"/>
      </w:r>
      <w:r>
        <w:instrText xml:space="preserve"> REF _Ref1568626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</w:t>
      </w:r>
      <w:r>
        <w:t xml:space="preserve">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107180"/>
                <wp:effectExtent l="0" t="0" r="0" b="0"/>
                <wp:docPr id="4" name="Рисунок 67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120130" cy="4107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81.9pt;height:323.4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pStyle w:val="974"/>
      </w:pPr>
      <w:r/>
      <w:bookmarkStart w:id="672" w:name="_Ref486923556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73" w:name="_Toc20229551"/>
      <w:r/>
      <w:bookmarkStart w:id="674" w:name="_Toc59804459"/>
      <w:r>
        <w:t xml:space="preserve">4</w:t>
      </w:r>
      <w:r>
        <w:fldChar w:fldCharType="end"/>
      </w:r>
      <w:bookmarkEnd w:id="672"/>
      <w:r>
        <w:t xml:space="preserve">. Переход к списковой форме документов</w:t>
      </w:r>
      <w:bookmarkEnd w:id="673"/>
      <w:r/>
      <w:bookmarkEnd w:id="674"/>
      <w:r/>
      <w:r/>
    </w:p>
    <w:p>
      <w:pPr>
        <w:pStyle w:val="985"/>
      </w:pPr>
      <w:r>
        <w:t xml:space="preserve">На вкладке «Рабочие места» представлен аналитический инструмент, предназначенный для формирования сводных отчетов по заданным параметрам (</w:t>
      </w:r>
      <w:r>
        <w:t xml:space="preserve">рис. </w:t>
      </w:r>
      <w:r>
        <w:fldChar w:fldCharType="begin"/>
      </w:r>
      <w:r>
        <w:instrText xml:space="preserve"> REF _Ref11064184 \h </w:instrText>
      </w:r>
      <w:r>
        <w:fldChar w:fldCharType="separate"/>
      </w:r>
      <w:r>
        <w:t xml:space="preserve">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76190" cy="4942857"/>
                <wp:effectExtent l="0" t="0" r="0" b="0"/>
                <wp:docPr id="5" name="Рисунок 67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Snap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676190" cy="4942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6.9pt;height:389.2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75" w:name="_Ref11064184"/>
      <w:r/>
      <w:bookmarkStart w:id="676" w:name="_Toc20229552"/>
      <w:r/>
      <w:bookmarkStart w:id="677" w:name="_Toc59804460"/>
      <w:r>
        <w:t xml:space="preserve">5</w:t>
      </w:r>
      <w:bookmarkEnd w:id="675"/>
      <w:r>
        <w:fldChar w:fldCharType="end"/>
      </w:r>
      <w:r>
        <w:t xml:space="preserve">. Переход к аналитическому инструменту для формирования отчетов</w:t>
      </w:r>
      <w:bookmarkEnd w:id="676"/>
      <w:r/>
      <w:bookmarkEnd w:id="677"/>
      <w:r/>
      <w:r/>
    </w:p>
    <w:p>
      <w:pPr>
        <w:pStyle w:val="963"/>
      </w:pPr>
      <w:r/>
      <w:bookmarkStart w:id="678" w:name="__RefHeading___Toc428787540"/>
      <w:r/>
      <w:bookmarkStart w:id="679" w:name="_Ref421804243"/>
      <w:r/>
      <w:bookmarkStart w:id="680" w:name="_Toc487019701"/>
      <w:r/>
      <w:bookmarkStart w:id="681" w:name="_Toc487028491"/>
      <w:r/>
      <w:bookmarkStart w:id="682" w:name="_Toc20229503"/>
      <w:r/>
      <w:bookmarkStart w:id="683" w:name="_Toc62446045"/>
      <w:r/>
      <w:bookmarkEnd w:id="678"/>
      <w:r>
        <w:t xml:space="preserve">Списковая форма</w:t>
      </w:r>
      <w:bookmarkEnd w:id="679"/>
      <w:r/>
      <w:bookmarkEnd w:id="680"/>
      <w:r/>
      <w:bookmarkEnd w:id="681"/>
      <w:r/>
      <w:bookmarkEnd w:id="682"/>
      <w:r/>
      <w:bookmarkEnd w:id="683"/>
      <w:r/>
      <w:r/>
    </w:p>
    <w:p>
      <w:pPr>
        <w:pStyle w:val="985"/>
      </w:pPr>
      <w:r>
        <w:t xml:space="preserve">Списковая форма содержит перечень экземпляров документов данного типа, доступных пользователю (</w:t>
      </w:r>
      <w:r>
        <w:t xml:space="preserve">рис. </w:t>
      </w:r>
      <w:r>
        <w:fldChar w:fldCharType="begin"/>
      </w:r>
      <w:r>
        <w:instrText xml:space="preserve"> REF _Ref486923612 \h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). Набор полей списковой формы зависит от атрибутов формируемых документов и может быть различным, в зависимости от выбранного справочника или документа.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027555"/>
                <wp:effectExtent l="0" t="0" r="0" b="0"/>
                <wp:docPr id="6" name="Рисунок 1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120130" cy="2027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81.9pt;height:159.7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Style w:val="974"/>
      </w:pPr>
      <w:r/>
      <w:bookmarkStart w:id="684" w:name="_Ref486923612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85" w:name="_Ref1568626"/>
      <w:r/>
      <w:bookmarkStart w:id="686" w:name="_Toc37174406"/>
      <w:r/>
      <w:bookmarkStart w:id="687" w:name="_Toc59804461"/>
      <w:r>
        <w:t xml:space="preserve">6</w:t>
      </w:r>
      <w:bookmarkEnd w:id="685"/>
      <w:r>
        <w:fldChar w:fldCharType="end"/>
      </w:r>
      <w:bookmarkEnd w:id="684"/>
      <w:r>
        <w:t xml:space="preserve">. Списковая форма документов «Сведения о ДО»</w:t>
      </w:r>
      <w:bookmarkEnd w:id="686"/>
      <w:r/>
      <w:bookmarkEnd w:id="687"/>
      <w:r/>
      <w:r/>
    </w:p>
    <w:p>
      <w:pPr>
        <w:pStyle w:val="985"/>
      </w:pPr>
      <w:r>
        <w:t xml:space="preserve">Набор отображаемых столбцов в табличной части можно изменить, используя инструмент настройки списка. Для этого нужно нажать правой кнопкой мыши на шапке таблицы списковой формы и в открывшемся списке выбрать опцию «Выбор колонок» (</w:t>
      </w:r>
      <w:r>
        <w:t xml:space="preserve">рис. </w:t>
      </w:r>
      <w:r>
        <w:fldChar w:fldCharType="begin"/>
      </w:r>
      <w:r>
        <w:instrText xml:space="preserve"> REF _Ref36546508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). 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61905" cy="780952"/>
                <wp:effectExtent l="0" t="0" r="0" b="0"/>
                <wp:docPr id="7" name="Рисунок 1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3" name="Snap7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1561905" cy="780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123.0pt;height:61.5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88" w:name="_Ref36546508"/>
      <w:r/>
      <w:bookmarkStart w:id="689" w:name="_Toc37174407"/>
      <w:r/>
      <w:bookmarkStart w:id="690" w:name="_Toc59804462"/>
      <w:r>
        <w:t xml:space="preserve">7</w:t>
      </w:r>
      <w:bookmarkEnd w:id="688"/>
      <w:r>
        <w:fldChar w:fldCharType="end"/>
      </w:r>
      <w:r>
        <w:t xml:space="preserve">. Меню действий с колонками</w:t>
      </w:r>
      <w:bookmarkEnd w:id="689"/>
      <w:r/>
      <w:bookmarkEnd w:id="690"/>
      <w:r/>
      <w:r/>
    </w:p>
    <w:p>
      <w:pPr>
        <w:pStyle w:val="985"/>
      </w:pPr>
      <w:r>
        <w:t xml:space="preserve">Появится окно с перечнем колонок: те реквизиты, рядом с которыми стоит галочка, отображаются в списковой форме. На рисунке </w:t>
      </w:r>
      <w:r>
        <w:fldChar w:fldCharType="begin"/>
      </w:r>
      <w:r>
        <w:instrText xml:space="preserve"> REF _Ref37174068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 приведен пример выбора колонок для списковой формы всех документов «Сведения о ДО».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4150" cy="5278041"/>
                <wp:effectExtent l="0" t="0" r="0" b="0"/>
                <wp:docPr id="8" name="Рисунок 2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726908" cy="52833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214.5pt;height:415.6pt;" stroked="false">
                <v:path textboxrect="0,0,0,0"/>
                <v:imagedata r:id="rId2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91" w:name="_Ref37174068"/>
      <w:r/>
      <w:bookmarkStart w:id="692" w:name="_Toc37174408"/>
      <w:r/>
      <w:bookmarkStart w:id="693" w:name="_Toc59804463"/>
      <w:r>
        <w:t xml:space="preserve">8</w:t>
      </w:r>
      <w:bookmarkEnd w:id="691"/>
      <w:r>
        <w:fldChar w:fldCharType="end"/>
      </w:r>
      <w:r>
        <w:t xml:space="preserve">. Окно «Выбор колонок» для выбора колонок СФ «Сведения о ДО»</w:t>
      </w:r>
      <w:bookmarkEnd w:id="692"/>
      <w:r/>
      <w:bookmarkEnd w:id="693"/>
      <w:r/>
      <w:r/>
    </w:p>
    <w:p>
      <w:pPr>
        <w:pStyle w:val="963"/>
      </w:pPr>
      <w:r/>
      <w:bookmarkStart w:id="694" w:name="_Toc486937156"/>
      <w:r/>
      <w:bookmarkStart w:id="695" w:name="_Toc468289016"/>
      <w:r/>
      <w:bookmarkStart w:id="696" w:name="_Toc468289017"/>
      <w:r/>
      <w:bookmarkStart w:id="697" w:name="_Toc468289021"/>
      <w:r/>
      <w:bookmarkStart w:id="698" w:name="_Toc468289024"/>
      <w:r/>
      <w:bookmarkStart w:id="699" w:name="_Toc468289027"/>
      <w:r/>
      <w:bookmarkStart w:id="700" w:name="_Toc468289030"/>
      <w:r/>
      <w:bookmarkStart w:id="701" w:name="_Toc468289033"/>
      <w:r/>
      <w:bookmarkStart w:id="702" w:name="_Toc468289036"/>
      <w:r/>
      <w:bookmarkStart w:id="703" w:name="_Toc468289039"/>
      <w:r/>
      <w:bookmarkStart w:id="704" w:name="_Toc468289042"/>
      <w:r/>
      <w:bookmarkStart w:id="705" w:name="_Toc468289045"/>
      <w:r/>
      <w:bookmarkStart w:id="706" w:name="_Toc468289048"/>
      <w:r/>
      <w:bookmarkStart w:id="707" w:name="_Toc468289051"/>
      <w:r/>
      <w:bookmarkStart w:id="708" w:name="_Toc468289054"/>
      <w:r/>
      <w:bookmarkStart w:id="709" w:name="_Toc468289057"/>
      <w:r/>
      <w:bookmarkStart w:id="710" w:name="_Toc468289060"/>
      <w:r/>
      <w:bookmarkStart w:id="711" w:name="_Toc468289063"/>
      <w:r/>
      <w:bookmarkStart w:id="712" w:name="_Toc468289066"/>
      <w:r/>
      <w:bookmarkStart w:id="713" w:name="_Toc468289069"/>
      <w:r/>
      <w:bookmarkStart w:id="714" w:name="_Toc468289072"/>
      <w:r/>
      <w:bookmarkStart w:id="715" w:name="_Toc468289075"/>
      <w:r/>
      <w:bookmarkStart w:id="716" w:name="_Toc468289078"/>
      <w:r/>
      <w:bookmarkStart w:id="717" w:name="_Toc468289081"/>
      <w:r/>
      <w:bookmarkStart w:id="718" w:name="_Toc468289084"/>
      <w:r/>
      <w:bookmarkStart w:id="719" w:name="_Toc468289087"/>
      <w:r/>
      <w:bookmarkStart w:id="720" w:name="_Toc468289090"/>
      <w:r/>
      <w:bookmarkStart w:id="721" w:name="_Toc468289093"/>
      <w:r/>
      <w:bookmarkStart w:id="722" w:name="_Toc468289096"/>
      <w:r/>
      <w:bookmarkStart w:id="723" w:name="_Toc468289099"/>
      <w:r/>
      <w:bookmarkStart w:id="724" w:name="_Toc468289102"/>
      <w:r/>
      <w:bookmarkStart w:id="725" w:name="_Toc468289105"/>
      <w:r/>
      <w:bookmarkStart w:id="726" w:name="__RefHeading___Toc428787541"/>
      <w:r/>
      <w:bookmarkStart w:id="727" w:name="_Toc452115240"/>
      <w:r/>
      <w:bookmarkStart w:id="728" w:name="_Toc487019702"/>
      <w:r/>
      <w:bookmarkStart w:id="729" w:name="_Toc487028492"/>
      <w:r/>
      <w:bookmarkStart w:id="730" w:name="_Toc20229504"/>
      <w:r/>
      <w:bookmarkStart w:id="731" w:name="_Toc62446046"/>
      <w:r/>
      <w:bookmarkEnd w:id="694"/>
      <w:r/>
      <w:bookmarkEnd w:id="695"/>
      <w:r/>
      <w:bookmarkEnd w:id="696"/>
      <w:r/>
      <w:bookmarkEnd w:id="697"/>
      <w:r/>
      <w:bookmarkEnd w:id="698"/>
      <w:r/>
      <w:bookmarkEnd w:id="699"/>
      <w:r/>
      <w:bookmarkEnd w:id="700"/>
      <w:r/>
      <w:bookmarkEnd w:id="701"/>
      <w:r/>
      <w:bookmarkEnd w:id="702"/>
      <w:r/>
      <w:bookmarkEnd w:id="703"/>
      <w:r/>
      <w:bookmarkEnd w:id="704"/>
      <w:r/>
      <w:bookmarkEnd w:id="705"/>
      <w:r/>
      <w:bookmarkEnd w:id="706"/>
      <w:r/>
      <w:bookmarkEnd w:id="707"/>
      <w:r/>
      <w:bookmarkEnd w:id="708"/>
      <w:r/>
      <w:bookmarkEnd w:id="709"/>
      <w:r/>
      <w:bookmarkEnd w:id="710"/>
      <w:r/>
      <w:bookmarkEnd w:id="711"/>
      <w:r/>
      <w:bookmarkEnd w:id="712"/>
      <w:r/>
      <w:bookmarkEnd w:id="713"/>
      <w:r/>
      <w:bookmarkEnd w:id="714"/>
      <w:r/>
      <w:bookmarkEnd w:id="715"/>
      <w:r/>
      <w:bookmarkEnd w:id="716"/>
      <w:r/>
      <w:bookmarkEnd w:id="717"/>
      <w:r/>
      <w:bookmarkEnd w:id="718"/>
      <w:r/>
      <w:bookmarkEnd w:id="719"/>
      <w:r/>
      <w:bookmarkEnd w:id="720"/>
      <w:r/>
      <w:bookmarkEnd w:id="721"/>
      <w:r/>
      <w:bookmarkEnd w:id="722"/>
      <w:r/>
      <w:bookmarkEnd w:id="723"/>
      <w:r/>
      <w:bookmarkEnd w:id="724"/>
      <w:r/>
      <w:bookmarkEnd w:id="725"/>
      <w:r/>
      <w:bookmarkEnd w:id="726"/>
      <w:r>
        <w:t xml:space="preserve">Фильтр-папки</w:t>
      </w:r>
      <w:bookmarkEnd w:id="727"/>
      <w:r/>
      <w:bookmarkEnd w:id="728"/>
      <w:r/>
      <w:bookmarkEnd w:id="729"/>
      <w:r/>
      <w:bookmarkEnd w:id="730"/>
      <w:r/>
      <w:bookmarkEnd w:id="731"/>
      <w:r/>
      <w:r/>
    </w:p>
    <w:p>
      <w:pPr>
        <w:pStyle w:val="985"/>
      </w:pPr>
      <w:r>
        <w:t xml:space="preserve">Для более оперативной работы в дереве навигации вкладки «Формуляры» реализованы «Фильтр-папки», которые позволяют фильтровать документы по различным условиям (</w:t>
      </w:r>
      <w:r>
        <w:t xml:space="preserve">рис. </w:t>
      </w:r>
      <w:r>
        <w:fldChar w:fldCharType="begin"/>
      </w:r>
      <w:r>
        <w:instrText xml:space="preserve"> REF _Ref486923556 \h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). Для документа «Сведения о ДО» фильтрация по папкам выполняется по условиям, описанным </w:t>
      </w:r>
      <w:r>
        <w:t xml:space="preserve">в таблице </w:t>
      </w:r>
      <w:r>
        <w:fldChar w:fldCharType="begin"/>
      </w:r>
      <w:r>
        <w:instrText xml:space="preserve"> REF _Ref486926549 \h </w:instrText>
      </w:r>
      <w:r>
        <w:fldChar w:fldCharType="separate"/>
      </w:r>
      <w:r>
        <w:t xml:space="preserve">4</w:t>
      </w:r>
      <w:r>
        <w:fldChar w:fldCharType="end"/>
      </w:r>
      <w:r>
        <w:t xml:space="preserve">. </w:t>
      </w:r>
      <w:r/>
    </w:p>
    <w:p>
      <w:pPr>
        <w:pStyle w:val="984"/>
      </w:pPr>
      <w:r/>
      <w:bookmarkStart w:id="732" w:name="_Ref486926549"/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33" w:name="_Toc20229543"/>
      <w:r/>
      <w:bookmarkStart w:id="734" w:name="_Toc59804450"/>
      <w:r>
        <w:t xml:space="preserve">4</w:t>
      </w:r>
      <w:r>
        <w:fldChar w:fldCharType="end"/>
      </w:r>
      <w:bookmarkEnd w:id="732"/>
      <w:r>
        <w:t xml:space="preserve">. Фильтр-папки документа «Сведения о ДО»</w:t>
      </w:r>
      <w:bookmarkEnd w:id="733"/>
      <w:r/>
      <w:bookmarkEnd w:id="734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3492"/>
        <w:gridCol w:w="6202"/>
      </w:tblGrid>
      <w:tr>
        <w:trPr>
          <w:trHeight w:val="28"/>
        </w:trPr>
        <w:tc>
          <w:tcPr>
            <w:tcW w:w="1801" w:type="pct"/>
            <w:textDirection w:val="lrTb"/>
            <w:noWrap w:val="false"/>
          </w:tcPr>
          <w:p>
            <w:pPr>
              <w:pStyle w:val="997"/>
            </w:pPr>
            <w:r>
              <w:t xml:space="preserve">Наименование папки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7"/>
            </w:pPr>
            <w:r>
              <w:t xml:space="preserve">Условия фильтрации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Все документы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все актуальные экземпляры документов «Сведения о ДО».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В работе (Мое)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«Черновик», ответственным исполнителем в которых является текущий пользователь. 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На согласовании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«На согласовании».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На согласовании (Мое)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«На согласовании», ответственным за согласование которых на текущем этапе в соответствии с порядком согласования является текущий пользователь.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/>
            <w:bookmarkStart w:id="735" w:name="_Hlk424735011"/>
            <w:r>
              <w:t xml:space="preserve">Направленные на согласование (Мое)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«На согласовании», созданные текущим пользователем.</w:t>
            </w:r>
            <w:bookmarkEnd w:id="735"/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Требуют доработки (Мое)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/>
            <w:bookmarkStart w:id="736" w:name="OLE_LINK20"/>
            <w:r/>
            <w:bookmarkStart w:id="737" w:name="OLE_LINK21"/>
            <w:r>
              <w:t xml:space="preserve">Отображаются экземпляры документов в статусе «Требует доработки»</w:t>
            </w:r>
            <w:bookmarkEnd w:id="736"/>
            <w:r/>
            <w:bookmarkEnd w:id="737"/>
            <w:r>
              <w:t xml:space="preserve">, ответственным исполнителем в которых является текущий пользователь.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Требуют доработки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«Требует доработки».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/>
            <w:bookmarkStart w:id="738" w:name="_Hlk424734874"/>
            <w:r>
              <w:t xml:space="preserve">На утверждении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«На утверждении».</w:t>
            </w:r>
            <w:bookmarkEnd w:id="738"/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На утверждении (Мое)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«На утверждении», ответственным за утверждение которых является текущий пользователь.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Направленные на утверждение (Мое)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экземпляры документов в статусе «На утверждении», созданные текущим пользователем.</w:t>
            </w:r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/>
            <w:bookmarkStart w:id="739" w:name="OLE_LINK110"/>
            <w:r/>
            <w:bookmarkStart w:id="740" w:name="OLE_LINK111"/>
            <w:r/>
            <w:bookmarkStart w:id="741" w:name="_Hlk428790195"/>
            <w:r>
              <w:t xml:space="preserve">На согласовании в ФК (Мое)</w:t>
            </w:r>
            <w:bookmarkEnd w:id="739"/>
            <w:r/>
            <w:bookmarkEnd w:id="740"/>
            <w:r/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/>
            <w:bookmarkStart w:id="742" w:name="OLE_LINK118"/>
            <w:r/>
            <w:bookmarkStart w:id="743" w:name="OLE_LINK119"/>
            <w:r/>
            <w:bookmarkStart w:id="744" w:name="OLE_LINK124"/>
            <w:r>
              <w:t xml:space="preserve">Отображаются экземпляры документов на статусе «Утвержден»</w:t>
            </w:r>
            <w:bookmarkStart w:id="745" w:name="OLE_LINK122"/>
            <w:r/>
            <w:bookmarkStart w:id="746" w:name="OLE_LINK123"/>
            <w:r>
              <w:t xml:space="preserve"> и созданные текущим пользователем</w:t>
            </w:r>
            <w:bookmarkEnd w:id="745"/>
            <w:r/>
            <w:bookmarkEnd w:id="746"/>
            <w:r>
              <w:t xml:space="preserve">.</w:t>
            </w:r>
            <w:bookmarkEnd w:id="742"/>
            <w:r/>
            <w:bookmarkEnd w:id="743"/>
            <w:r/>
            <w:bookmarkEnd w:id="744"/>
            <w:r/>
            <w:bookmarkEnd w:id="741"/>
            <w:r/>
          </w:p>
        </w:tc>
      </w:tr>
      <w:tr>
        <w:trPr/>
        <w:tc>
          <w:tcPr>
            <w:tcW w:w="1801" w:type="pct"/>
            <w:textDirection w:val="lrTb"/>
            <w:noWrap w:val="false"/>
          </w:tcPr>
          <w:p>
            <w:pPr>
              <w:pStyle w:val="996"/>
            </w:pPr>
            <w:r>
              <w:t xml:space="preserve">Архив</w:t>
            </w:r>
            <w:r/>
          </w:p>
        </w:tc>
        <w:tc>
          <w:tcPr>
            <w:tcW w:w="3199" w:type="pct"/>
            <w:textDirection w:val="lrTb"/>
            <w:noWrap w:val="false"/>
          </w:tcPr>
          <w:p>
            <w:pPr>
              <w:pStyle w:val="996"/>
            </w:pPr>
            <w:r>
              <w:t xml:space="preserve">Отображаются все экземпляры документов, в том числе неактуальные.</w:t>
            </w:r>
            <w:r/>
          </w:p>
        </w:tc>
      </w:tr>
    </w:tbl>
    <w:p>
      <w:pPr>
        <w:pStyle w:val="963"/>
      </w:pPr>
      <w:r/>
      <w:bookmarkStart w:id="747" w:name="_Toc487019703"/>
      <w:r/>
      <w:bookmarkStart w:id="748" w:name="_Toc487028493"/>
      <w:r/>
      <w:bookmarkStart w:id="749" w:name="_Toc20229505"/>
      <w:r/>
      <w:bookmarkStart w:id="750" w:name="_Toc62446047"/>
      <w:r>
        <w:t xml:space="preserve">Панель инструментов</w:t>
      </w:r>
      <w:bookmarkEnd w:id="747"/>
      <w:r/>
      <w:bookmarkEnd w:id="748"/>
      <w:r/>
      <w:bookmarkEnd w:id="749"/>
      <w:r/>
      <w:bookmarkEnd w:id="750"/>
      <w:r/>
      <w:r/>
    </w:p>
    <w:p>
      <w:pPr>
        <w:pStyle w:val="985"/>
      </w:pPr>
      <w:r>
        <w:t xml:space="preserve">На панели инструментов списковой формы находится набор функций (кнопок), вызывающих доступные действия над экземплярами документов, и элементы настройки формы. Описание кнопок панели инструментов представлено </w:t>
      </w:r>
      <w:r>
        <w:t xml:space="preserve">в таблице </w:t>
      </w:r>
      <w:r>
        <w:fldChar w:fldCharType="begin"/>
      </w:r>
      <w:r>
        <w:instrText xml:space="preserve"> REF _Ref519006519 \h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/>
    </w:p>
    <w:p>
      <w:pPr>
        <w:pStyle w:val="984"/>
      </w:pPr>
      <w:r/>
      <w:bookmarkStart w:id="751" w:name="_Ref421784119"/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752" w:name="_Ref519006519"/>
      <w:r/>
      <w:bookmarkStart w:id="753" w:name="_Toc20229544"/>
      <w:r/>
      <w:bookmarkStart w:id="754" w:name="_Toc59804451"/>
      <w:r>
        <w:t xml:space="preserve">5</w:t>
      </w:r>
      <w:bookmarkEnd w:id="752"/>
      <w:r>
        <w:fldChar w:fldCharType="end"/>
      </w:r>
      <w:r>
        <w:t xml:space="preserve">. Описание функциональных кнопок</w:t>
      </w:r>
      <w:bookmarkEnd w:id="751"/>
      <w:r/>
      <w:bookmarkEnd w:id="753"/>
      <w:r/>
      <w:bookmarkEnd w:id="754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3714"/>
        <w:gridCol w:w="5980"/>
      </w:tblGrid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7"/>
            </w:pPr>
            <w:r>
              <w:t xml:space="preserve">Вид кнопки на интерфейсе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7"/>
            </w:pPr>
            <w:r>
              <w:t xml:space="preserve">Значение кнопки (действия, функции)</w:t>
            </w:r>
            <w:r/>
          </w:p>
        </w:tc>
      </w:tr>
      <w:tr>
        <w:trPr>
          <w:trHeight w:val="316"/>
        </w:trPr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6225" cy="304800"/>
                      <wp:effectExtent l="19050" t="0" r="9525" b="0"/>
                      <wp:docPr id="9" name="Рисунок 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622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1.8pt;height:24.0pt;" stroked="f" strokeweight="0.75pt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Создать новый документ – при нажатии на </w:t>
            </w:r>
            <w:r>
              <w:t xml:space="preserve">кнопку </w:t>
            </w:r>
            <w:r>
              <w:t xml:space="preserve">открывается окно с активными полями для ввода данных.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04800" cy="276225"/>
                      <wp:effectExtent l="19050" t="0" r="0" b="0"/>
                      <wp:docPr id="10" name="Рисунок 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4.0pt;height:21.8pt;" stroked="f" strokeweight="0.75pt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Открыть документ на редактирование – при нажатии на </w:t>
            </w:r>
            <w:r>
              <w:t xml:space="preserve">кнопку </w:t>
            </w:r>
            <w:r>
              <w:t xml:space="preserve">открывается окно для просмотра введенных данных.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14325" cy="314325"/>
                      <wp:effectExtent l="19050" t="0" r="9525" b="0"/>
                      <wp:docPr id="11" name="Рисунок 5" descr="0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 descr="0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143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4.8pt;height:24.8pt;" stroked="f" strokeweight="0.75pt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Открыть документ на просмотр – при нажатии на </w:t>
            </w:r>
            <w:r>
              <w:t xml:space="preserve">кнопку </w:t>
            </w:r>
            <w:r>
              <w:t xml:space="preserve">открывается окно для просмотра введенных данных без возможности редактирования.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object w:dxaOrig="465" w:dyaOrig="48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" o:spid="_x0000_s11" type="#_x0000_t75" style="mso-wrap-distance-left:0.0pt;mso-wrap-distance-top:0.0pt;mso-wrap-distance-right:0.0pt;mso-wrap-distance-bottom:0.0pt;width:23.2pt;height:23.2pt;" filled="f" stroked="f">
                  <v:path textboxrect="0,0,0,0"/>
                  <v:imagedata r:id="rId28" o:title=""/>
                </v:shape>
                <o:OLEObject DrawAspect="Content" r:id="rId29" ObjectID="_15250411" ProgID="PBrush" ShapeID="_x0000_i11" Type="Embed"/>
              </w:objec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Создать копию документа – создать новый документ с данными, скопированными из выбранного документа.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object w:dxaOrig="795" w:dyaOrig="495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" o:spid="_x0000_s12" type="#_x0000_t75" style="mso-wrap-distance-left:0.0pt;mso-wrap-distance-top:0.0pt;mso-wrap-distance-right:0.0pt;mso-wrap-distance-bottom:0.0pt;width:36.8pt;height:23.2pt;" filled="f" stroked="f">
                  <v:path textboxrect="0,0,0,0"/>
                  <v:imagedata r:id="rId30" o:title=""/>
                </v:shape>
                <o:OLEObject DrawAspect="Content" r:id="rId31" ObjectID="_15250412" ProgID="PBrush" ShapeID="_x0000_i12" Type="Embed"/>
              </w:object>
            </w:r>
            <w:r>
              <w:t xml:space="preserve"> 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Удаление – удаление документа из Системы.</w:t>
            </w:r>
            <w:r/>
          </w:p>
          <w:p>
            <w:pPr>
              <w:pStyle w:val="996"/>
            </w:pPr>
            <w:r>
              <w:t xml:space="preserve">В корзину – удаление документа в корзину.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04800" cy="276225"/>
                      <wp:effectExtent l="19050" t="0" r="0" b="0"/>
                      <wp:docPr id="14" name="Рисунок 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4.0pt;height:21.8pt;" stroked="f" strokeweight="0.75pt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Обновить список документов – обновление списка документов на интерфейсе.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6225" cy="276225"/>
                      <wp:effectExtent l="19050" t="0" r="9525" b="0"/>
                      <wp:docPr id="15" name="Рисунок 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62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1.8pt;height:21.8pt;" stroked="f" strokeweight="0.75pt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Печать документа.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14325" cy="295275"/>
                      <wp:effectExtent l="19050" t="0" r="9525" b="0"/>
                      <wp:docPr id="16" name="Рисунок 7" descr="0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7" descr="0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14325" cy="2952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4.8pt;height:23.2pt;" stroked="f" strokeweight="0.75pt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Печать списка – вывод на печать выбранных документов.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object w:dxaOrig="525" w:dyaOrig="465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6" o:spid="_x0000_s16" type="#_x0000_t75" style="mso-wrap-distance-left:0.0pt;mso-wrap-distance-top:0.0pt;mso-wrap-distance-right:0.0pt;mso-wrap-distance-bottom:0.0pt;width:23.2pt;height:23.2pt;" filled="f" stroked="f">
                  <v:path textboxrect="0,0,0,0"/>
                  <v:imagedata r:id="rId35" o:title=""/>
                </v:shape>
                <o:OLEObject DrawAspect="Content" r:id="rId36" ObjectID="_15250416" ProgID="PBrush" ShapeID="_x0000_i16" Type="Embed"/>
              </w:objec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Проверка подписи – вывод информации о наличии подписи и ее характеристиках.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0686" cy="281992"/>
                      <wp:effectExtent l="0" t="0" r="0" b="0"/>
                      <wp:docPr id="18" name="Рисунок 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22060" cy="28216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174.9pt;height:22.2pt;" stroked="f" strokeweight="0.75pt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Пользовательский фильтр – вызывает окно для задания параметров поиска по документам.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7175" cy="257175"/>
                      <wp:effectExtent l="19050" t="0" r="9525" b="0"/>
                      <wp:docPr id="19" name="Рисунок 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.2pt;height:20.2pt;" stroked="f" strokeweight="0.75pt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Применить фильтр.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6225" cy="342900"/>
                      <wp:effectExtent l="19050" t="0" r="9525" b="0"/>
                      <wp:docPr id="20" name="Рисунок 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7622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1.8pt;height:27.0pt;" stroked="f" strokeweight="0.75pt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Сбросить фильтр (находится справа от элемента «Пользовательский фильтр»).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/>
            <w:bookmarkStart w:id="755" w:name="OLE_LINK131"/>
            <w:r/>
            <w:bookmarkStart w:id="756" w:name="OLE_LINK132"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95300" cy="295275"/>
                      <wp:effectExtent l="19050" t="0" r="0" b="0"/>
                      <wp:docPr id="21" name="Рисунок 13" descr="0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3" descr="0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95300" cy="2952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39.0pt;height:23.2pt;" stroked="f" strokeweight="0.75pt">
                      <v:path textboxrect="0,0,0,0"/>
                      <v:imagedata r:id="rId40" o:title=""/>
                    </v:shape>
                  </w:pict>
                </mc:Fallback>
              </mc:AlternateContent>
            </w:r>
            <w:bookmarkEnd w:id="755"/>
            <w:r/>
            <w:bookmarkEnd w:id="756"/>
            <w:r/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Экспорт – выгрузка документа в формате текстового файла или XML-файла в утвержденных форматах ТФФ.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4825" cy="314325"/>
                      <wp:effectExtent l="19050" t="0" r="9525" b="0"/>
                      <wp:docPr id="22" name="Рисунок 14" descr="0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4" descr="0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048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39.8pt;height:24.8pt;" stroked="f" strokeweight="0.75pt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Импорт – загрузка файла в текстовом формате в Систему в утвержденных форматах ТФФ.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4825" cy="314325"/>
                      <wp:effectExtent l="19050" t="0" r="9525" b="0"/>
                      <wp:docPr id="23" name="Рисунок 15" descr="0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5" descr="0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048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39.8pt;height:24.8pt;" stroked="f" strokeweight="0.75pt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Копия с вложениями – создать новый документ с данными, скопированными из выбранного документа.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object w:dxaOrig="750" w:dyaOrig="435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3" o:spid="_x0000_s23" type="#_x0000_t75" style="mso-wrap-distance-left:0.0pt;mso-wrap-distance-top:0.0pt;mso-wrap-distance-right:0.0pt;mso-wrap-distance-bottom:0.0pt;width:36.8pt;height:23.2pt;" filled="f" stroked="f">
                  <v:path textboxrect="0,0,0,0"/>
                  <v:imagedata r:id="rId43" o:title=""/>
                </v:shape>
                <o:OLEObject DrawAspect="Content" r:id="rId44" ObjectID="_15250423" ProgID="PBrush" ShapeID="_x0000_i23" Type="Embed"/>
              </w:objec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Подписать – наложение на документ электронной подписи.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4825" cy="295275"/>
                      <wp:effectExtent l="19050" t="0" r="9525" b="0"/>
                      <wp:docPr id="25" name="Рисунок 17" descr="0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7" descr="0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04825" cy="29527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39.8pt;height:23.2pt;" stroked="f" strokeweight="0.75pt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Удаление подписи – удаление наложенной ранее на документ электронной подписи.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/>
            <w:bookmarkStart w:id="757" w:name="OLE_LINK80"/>
            <w:r/>
            <w:bookmarkStart w:id="758" w:name="OLE_LINK81"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23850" cy="352425"/>
                      <wp:effectExtent l="19050" t="0" r="0" b="0"/>
                      <wp:docPr id="26" name="Рисунок 18" descr="012 Кнопка Направить на согласование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8" descr="012 Кнопка Направить на согласование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2385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5.5pt;height:27.8pt;" stroked="f" strokeweight="0.75pt">
                      <v:path textboxrect="0,0,0,0"/>
                      <v:imagedata r:id="rId46" o:title=""/>
                    </v:shape>
                  </w:pict>
                </mc:Fallback>
              </mc:AlternateContent>
            </w:r>
            <w:bookmarkEnd w:id="757"/>
            <w:r/>
            <w:bookmarkEnd w:id="758"/>
            <w:r/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«Направить на согласование» – при нажатии на </w:t>
            </w:r>
            <w:r>
              <w:t xml:space="preserve">кнопку </w:t>
            </w:r>
            <w:r>
              <w:t xml:space="preserve">открывается диалоговое окно заполнения сведений по согласующим и утверждающим документ пользователям.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/>
            <w:bookmarkStart w:id="759" w:name="OLE_LINK115"/>
            <w:r/>
            <w:bookmarkStart w:id="760" w:name="OLE_LINK128"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33375" cy="304800"/>
                      <wp:effectExtent l="19050" t="0" r="9525" b="0"/>
                      <wp:docPr id="27" name="Рисунок 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333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6.2pt;height:24.0pt;" stroked="f" strokeweight="0.75pt">
                      <v:path textboxrect="0,0,0,0"/>
                      <v:imagedata r:id="rId47" o:title=""/>
                    </v:shape>
                  </w:pict>
                </mc:Fallback>
              </mc:AlternateContent>
            </w:r>
            <w:bookmarkEnd w:id="759"/>
            <w:r/>
            <w:bookmarkEnd w:id="760"/>
            <w:r/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«Согласовать» </w:t>
            </w:r>
            <w:bookmarkStart w:id="761" w:name="OLE_LINK27"/>
            <w:r/>
            <w:bookmarkStart w:id="762" w:name="OLE_LINK28"/>
            <w:r>
              <w:t xml:space="preserve">– </w:t>
            </w:r>
            <w:bookmarkEnd w:id="761"/>
            <w:r/>
            <w:bookmarkEnd w:id="762"/>
            <w:r>
              <w:t xml:space="preserve">при нажатии на </w:t>
            </w:r>
            <w:r>
              <w:t xml:space="preserve">кнопку </w:t>
            </w:r>
            <w:r>
              <w:t xml:space="preserve">открывается диалоговое окно с вариантами решения.</w:t>
            </w:r>
            <w:r/>
          </w:p>
          <w:p>
            <w:pPr>
              <w:pStyle w:val="996"/>
            </w:pPr>
            <w:r>
              <w:t xml:space="preserve">«Утвердить» – при нажатии на </w:t>
            </w:r>
            <w:r>
              <w:t xml:space="preserve">кнопку </w:t>
            </w:r>
            <w:r>
              <w:t xml:space="preserve">открывается диалоговое окно с вариантами решения.</w:t>
            </w:r>
            <w:r>
              <w:t xml:space="preserve"> </w:t>
            </w:r>
            <w:r/>
          </w:p>
          <w:p>
            <w:pPr>
              <w:pStyle w:val="996"/>
            </w:pPr>
            <w:r>
              <w:t xml:space="preserve">«Взять в работу» – при нажатии на </w:t>
            </w:r>
            <w:r>
              <w:t xml:space="preserve">кнопку </w:t>
            </w:r>
            <w:r>
              <w:t xml:space="preserve">документ на статусе «Не согласован» переводится в статус «Черновик».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04800" cy="276225"/>
                      <wp:effectExtent l="19050" t="0" r="0" b="0"/>
                      <wp:docPr id="28" name="Рисунок 224" descr="QIP Shot - Screen 024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24" descr="QIP Shot - Screen 024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4.0pt;height:21.8pt;" stroked="f" strokeweight="0.75pt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Редактировать лист согласования – при нажатии на </w:t>
            </w:r>
            <w:r>
              <w:t xml:space="preserve">кнопку </w:t>
            </w:r>
            <w:r>
              <w:t xml:space="preserve">открывается окно для указания Согласующего и Утверждающего.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42900" cy="314325"/>
                      <wp:effectExtent l="19050" t="0" r="0" b="0"/>
                      <wp:docPr id="29" name="Рисунок 20" descr="0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0" descr="0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4290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7.0pt;height:24.8pt;" stroked="f" strokeweight="0.75pt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Настройки списковой формы – при нажатии на </w:t>
            </w:r>
            <w:r>
              <w:t xml:space="preserve">кнопку </w:t>
            </w:r>
            <w:r>
              <w:t xml:space="preserve">открывается окно для задания параметров списковой формы.</w:t>
            </w:r>
            <w:r/>
          </w:p>
        </w:tc>
      </w:tr>
    </w:tbl>
    <w:p>
      <w:pPr>
        <w:pStyle w:val="962"/>
      </w:pPr>
      <w:r/>
      <w:bookmarkStart w:id="763" w:name="_Ref17981949"/>
      <w:r/>
      <w:bookmarkStart w:id="764" w:name="_Toc20229506"/>
      <w:r/>
      <w:bookmarkStart w:id="765" w:name="_Toc62446048"/>
      <w:r>
        <w:t xml:space="preserve">Формирование и ведение справочников</w:t>
      </w:r>
      <w:bookmarkEnd w:id="637"/>
      <w:r/>
      <w:bookmarkEnd w:id="638"/>
      <w:r/>
      <w:bookmarkEnd w:id="639"/>
      <w:r/>
      <w:bookmarkEnd w:id="640"/>
      <w:r/>
      <w:bookmarkEnd w:id="641"/>
      <w:r/>
      <w:bookmarkEnd w:id="662"/>
      <w:r/>
      <w:bookmarkEnd w:id="763"/>
      <w:r/>
      <w:bookmarkEnd w:id="764"/>
      <w:r/>
      <w:bookmarkEnd w:id="765"/>
      <w:r>
        <w:t xml:space="preserve"> </w:t>
      </w:r>
      <w:r/>
    </w:p>
    <w:p>
      <w:pPr>
        <w:pStyle w:val="986"/>
      </w:pPr>
      <w:r>
        <w:t xml:space="preserve">В подсистеме «Управления расходами» при формировании документа «Сведения о </w:t>
      </w:r>
      <w:r>
        <w:t xml:space="preserve">ДО</w:t>
      </w:r>
      <w:r>
        <w:t xml:space="preserve">» используются данные следующих справочников, которые ведутся Подсистемой НСИ:</w:t>
      </w:r>
      <w:r/>
    </w:p>
    <w:p>
      <w:pPr>
        <w:pStyle w:val="976"/>
      </w:pPr>
      <w:r>
        <w:t xml:space="preserve">централизованные:</w:t>
      </w:r>
      <w:r/>
    </w:p>
    <w:p>
      <w:pPr>
        <w:pStyle w:val="977"/>
      </w:pPr>
      <w:r>
        <w:t xml:space="preserve">справочник «Лицевые счета»;</w:t>
      </w:r>
      <w:r/>
    </w:p>
    <w:p>
      <w:pPr>
        <w:pStyle w:val="977"/>
      </w:pPr>
      <w:r>
        <w:t xml:space="preserve">справочник </w:t>
      </w:r>
      <w:r>
        <w:t xml:space="preserve">«ЕГРЮЛ»;</w:t>
      </w:r>
      <w:r/>
    </w:p>
    <w:p>
      <w:pPr>
        <w:pStyle w:val="977"/>
      </w:pPr>
      <w:r>
        <w:t xml:space="preserve">справочник «ТОФК»;</w:t>
      </w:r>
      <w:r/>
    </w:p>
    <w:p>
      <w:pPr>
        <w:pStyle w:val="977"/>
      </w:pPr>
      <w:r>
        <w:t xml:space="preserve">справочник «Бюджеты»;</w:t>
      </w:r>
      <w:r/>
    </w:p>
    <w:p>
      <w:pPr>
        <w:pStyle w:val="977"/>
      </w:pPr>
      <w:r>
        <w:t xml:space="preserve">справочник «Сводный реестр»;</w:t>
      </w:r>
      <w:r/>
    </w:p>
    <w:p>
      <w:pPr>
        <w:pStyle w:val="977"/>
      </w:pPr>
      <w:r>
        <w:t xml:space="preserve">справочник «Расходы (КБК)</w:t>
      </w:r>
      <w:r>
        <w:t xml:space="preserve">»;</w:t>
      </w:r>
      <w:r/>
    </w:p>
    <w:p>
      <w:pPr>
        <w:pStyle w:val="976"/>
      </w:pPr>
      <w:r>
        <w:t xml:space="preserve">общероссийские:</w:t>
      </w:r>
      <w:r/>
    </w:p>
    <w:p>
      <w:pPr>
        <w:pStyle w:val="977"/>
      </w:pPr>
      <w:r>
        <w:t xml:space="preserve">справочник «</w:t>
      </w:r>
      <w:bookmarkStart w:id="766" w:name="OLE_LINK281"/>
      <w:r/>
      <w:bookmarkStart w:id="767" w:name="OLE_LINK282"/>
      <w:r>
        <w:t xml:space="preserve">Таблица соответствия кодов ОКАТО кодам ОКТМО</w:t>
      </w:r>
      <w:bookmarkEnd w:id="766"/>
      <w:r/>
      <w:bookmarkEnd w:id="767"/>
      <w:r>
        <w:t xml:space="preserve">»;</w:t>
      </w:r>
      <w:r/>
    </w:p>
    <w:p>
      <w:pPr>
        <w:pStyle w:val="977"/>
      </w:pPr>
      <w:r>
        <w:t xml:space="preserve">справочник «ОКВ»;</w:t>
      </w:r>
      <w:r/>
    </w:p>
    <w:p>
      <w:pPr>
        <w:pStyle w:val="977"/>
      </w:pPr>
      <w:r>
        <w:t xml:space="preserve">справочник «ОКАТО-ОКТ</w:t>
      </w:r>
      <w:r>
        <w:t xml:space="preserve">МО»;</w:t>
      </w:r>
      <w:r/>
    </w:p>
    <w:p>
      <w:pPr>
        <w:pStyle w:val="976"/>
      </w:pPr>
      <w:r/>
      <w:bookmarkStart w:id="768" w:name="OLE_LINK269"/>
      <w:r/>
      <w:bookmarkStart w:id="769" w:name="OLE_LINK270"/>
      <w:r/>
      <w:bookmarkStart w:id="770" w:name="OLE_LINK271"/>
      <w:r>
        <w:t xml:space="preserve">отраслевые:</w:t>
      </w:r>
      <w:r/>
    </w:p>
    <w:p>
      <w:pPr>
        <w:pStyle w:val="977"/>
      </w:pPr>
      <w:r>
        <w:t xml:space="preserve">справочник «Федеральные адресные инвестиционные программы ФАИП».</w:t>
      </w:r>
      <w:r/>
    </w:p>
    <w:p>
      <w:pPr>
        <w:pStyle w:val="985"/>
      </w:pPr>
      <w:r/>
      <w:bookmarkStart w:id="771" w:name="_Toc486936333"/>
      <w:r/>
      <w:bookmarkEnd w:id="768"/>
      <w:r/>
      <w:bookmarkEnd w:id="769"/>
      <w:r/>
      <w:bookmarkEnd w:id="770"/>
      <w:r>
        <w:t xml:space="preserve">Для автоматического заполнения</w:t>
      </w:r>
      <w:r>
        <w:t xml:space="preserve"> </w:t>
      </w:r>
      <w:r>
        <w:t xml:space="preserve">формуляра «Лист</w:t>
      </w:r>
      <w:r>
        <w:t xml:space="preserve"> согласования Сведений</w:t>
      </w:r>
      <w:r>
        <w:t xml:space="preserve"> о </w:t>
      </w:r>
      <w:r>
        <w:t xml:space="preserve">ДО</w:t>
      </w:r>
      <w:r>
        <w:t xml:space="preserve">» используется справочник «Шаблон листа согласования», который ведется самостоятельно пользователями.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772" w:name="_Toc487026039"/>
      <w:r/>
      <w:bookmarkStart w:id="773" w:name="_Toc487028672"/>
      <w:r/>
      <w:bookmarkStart w:id="774" w:name="_Toc517687787"/>
      <w:r/>
      <w:bookmarkStart w:id="775" w:name="_Toc20229507"/>
      <w:r/>
      <w:bookmarkStart w:id="776" w:name="_Ref36213707"/>
      <w:r/>
      <w:bookmarkStart w:id="777" w:name="_Toc62446049"/>
      <w:r/>
      <w:bookmarkStart w:id="778" w:name="_Toc452115255"/>
      <w:r/>
      <w:bookmarkStart w:id="779" w:name="_Toc487019710"/>
      <w:r/>
      <w:bookmarkStart w:id="780" w:name="_Toc487028500"/>
      <w:r/>
      <w:bookmarkStart w:id="781" w:name="_Toc421735092"/>
      <w:r/>
      <w:bookmarkEnd w:id="771"/>
      <w:r>
        <w:t xml:space="preserve">Заполнение справочника «Шаблон листа согласования»</w:t>
      </w:r>
      <w:bookmarkEnd w:id="772"/>
      <w:r/>
      <w:bookmarkEnd w:id="773"/>
      <w:r/>
      <w:bookmarkEnd w:id="774"/>
      <w:r/>
      <w:bookmarkEnd w:id="775"/>
      <w:r/>
      <w:bookmarkEnd w:id="776"/>
      <w:r/>
      <w:bookmarkEnd w:id="777"/>
      <w:r/>
      <w:r/>
    </w:p>
    <w:p>
      <w:pPr>
        <w:pStyle w:val="986"/>
      </w:pPr>
      <w:r>
        <w:t xml:space="preserve">Для начала работы со справочником «Шаблон листа согласования» необходимо выполнить следующие действия:</w:t>
      </w:r>
      <w:r/>
    </w:p>
    <w:p>
      <w:pPr>
        <w:pStyle w:val="1147"/>
        <w:numPr>
          <w:ilvl w:val="0"/>
          <w:numId w:val="18"/>
        </w:numPr>
      </w:pPr>
      <w:r>
        <w:t xml:space="preserve">Выбрать пункт меню «Шаблон листа согласования» (Навигатор – Управление расходами – Справочники – Шаблон листа согласования»</w:t>
      </w:r>
      <w:r>
        <w:t xml:space="preserve">)</w:t>
      </w:r>
      <w:r>
        <w:t xml:space="preserve">.</w:t>
      </w:r>
      <w:r/>
    </w:p>
    <w:p>
      <w:pPr>
        <w:pStyle w:val="1147"/>
        <w:numPr>
          <w:ilvl w:val="0"/>
          <w:numId w:val="18"/>
        </w:numPr>
      </w:pPr>
      <w:r>
        <w:t xml:space="preserve">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9381" cy="259560"/>
                <wp:effectExtent l="0" t="0" r="0" b="0"/>
                <wp:docPr id="30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52934" cy="2632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mso-wrap-distance-left:0.0pt;mso-wrap-distance-top:0.0pt;mso-wrap-distance-right:0.0pt;mso-wrap-distance-bottom:0.0pt;width:19.6pt;height:20.4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t xml:space="preserve"> </w:t>
      </w:r>
      <w:r>
        <w:t xml:space="preserve">(Создать новый документ)</w:t>
      </w:r>
      <w:r>
        <w:t xml:space="preserve">.</w:t>
      </w:r>
      <w:r>
        <w:t xml:space="preserve"> </w:t>
      </w:r>
      <w:r>
        <w:t xml:space="preserve">Откроется визуальная форма экземпляра формуляра «Шаблон листа согласования» с возможностью ее редактирования (</w:t>
      </w:r>
      <w:r>
        <w:t xml:space="preserve">рис. </w:t>
      </w:r>
      <w:r>
        <w:fldChar w:fldCharType="begin"/>
      </w:r>
      <w:r>
        <w:instrText xml:space="preserve"> REF _Ref497130771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6022340"/>
                <wp:effectExtent l="0" t="0" r="0" b="0"/>
                <wp:docPr id="31" name="Рисунок 23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6120130" cy="6022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mso-wrap-distance-left:0.0pt;mso-wrap-distance-top:0.0pt;mso-wrap-distance-right:0.0pt;mso-wrap-distance-bottom:0.0pt;width:481.9pt;height:474.2pt;" stroked="false">
                <v:path textboxrect="0,0,0,0"/>
                <v:imagedata r:id="rId50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5506720"/>
                <wp:effectExtent l="0" t="0" r="0" b="0"/>
                <wp:docPr id="32" name="Рисунок 67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6120130" cy="5506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mso-wrap-distance-left:0.0pt;mso-wrap-distance-top:0.0pt;mso-wrap-distance-right:0.0pt;mso-wrap-distance-bottom:0.0pt;width:481.9pt;height:433.6pt;" stroked="false">
                <v:path textboxrect="0,0,0,0"/>
                <v:imagedata r:id="rId5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82" w:name="_Ref497130771"/>
      <w:r/>
      <w:bookmarkStart w:id="783" w:name="_Toc20229554"/>
      <w:r/>
      <w:bookmarkStart w:id="784" w:name="_Toc59804464"/>
      <w:r>
        <w:t xml:space="preserve">9</w:t>
      </w:r>
      <w:bookmarkEnd w:id="782"/>
      <w:r>
        <w:fldChar w:fldCharType="end"/>
      </w:r>
      <w:r>
        <w:t xml:space="preserve">. Визуальная форма экземпляра формуляра «Шаблон листа согласования»</w:t>
      </w:r>
      <w:bookmarkEnd w:id="783"/>
      <w:r/>
      <w:bookmarkEnd w:id="784"/>
      <w:r/>
      <w:r/>
    </w:p>
    <w:p>
      <w:pPr>
        <w:pStyle w:val="1147"/>
        <w:numPr>
          <w:ilvl w:val="0"/>
          <w:numId w:val="17"/>
        </w:numPr>
      </w:pPr>
      <w:r>
        <w:t xml:space="preserve">В открывшейся визуальной форме экземпляра формуляра «Шаблон листа согласования» необходимо </w:t>
      </w:r>
      <w:r>
        <w:t xml:space="preserve">вручную </w:t>
      </w:r>
      <w:r>
        <w:t xml:space="preserve">заполнить реквизиты, приведённые </w:t>
      </w:r>
      <w:r>
        <w:t xml:space="preserve">в таблице </w:t>
      </w:r>
      <w:r>
        <w:fldChar w:fldCharType="begin"/>
      </w:r>
      <w:r>
        <w:instrText xml:space="preserve"> REF _Ref454455728 \h  \* MERGEFORMAT </w:instrText>
      </w:r>
      <w:r>
        <w:fldChar w:fldCharType="separate"/>
      </w:r>
      <w:r>
        <w:t xml:space="preserve">6</w:t>
      </w:r>
      <w:r>
        <w:fldChar w:fldCharType="end"/>
      </w:r>
      <w:r>
        <w:t xml:space="preserve">.</w:t>
      </w:r>
      <w:r>
        <w:t xml:space="preserve"> Реквизиты, не указанные в таблице, заполняются автоматически.</w:t>
      </w:r>
      <w:r/>
    </w:p>
    <w:p>
      <w:pPr>
        <w:pStyle w:val="984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785" w:name="_Ref454455728"/>
      <w:r/>
      <w:bookmarkStart w:id="786" w:name="_Toc20229545"/>
      <w:r/>
      <w:bookmarkStart w:id="787" w:name="_Toc59804452"/>
      <w:r>
        <w:t xml:space="preserve">6</w:t>
      </w:r>
      <w:bookmarkEnd w:id="785"/>
      <w:r>
        <w:fldChar w:fldCharType="end"/>
      </w:r>
      <w:r>
        <w:t xml:space="preserve">. Описание полей формуляра «Шаблон листа согласования»</w:t>
      </w:r>
      <w:bookmarkEnd w:id="786"/>
      <w:r/>
      <w:bookmarkEnd w:id="787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3288"/>
        <w:gridCol w:w="6406"/>
      </w:tblGrid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7"/>
              <w:rPr>
                <w:lang w:val="en-US"/>
              </w:rPr>
            </w:pPr>
            <w:r>
              <w:t xml:space="preserve">Наименование реквизита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7"/>
              <w:rPr>
                <w:lang w:val="en-US"/>
              </w:rPr>
            </w:pPr>
            <w:r>
              <w:t xml:space="preserve">Описание реквизита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  <w:rPr>
                <w:b/>
              </w:rPr>
            </w:pPr>
            <w:r>
              <w:rPr>
                <w:b/>
              </w:rPr>
              <w:t xml:space="preserve">Блок «Общая информация»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Дата начала действия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из календаря или автоматическое заполнение текущей датой.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Номер 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вручную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  <w:rPr>
                <w:rStyle w:val="992"/>
              </w:rPr>
            </w:pPr>
            <w:r>
              <w:rPr>
                <w:rStyle w:val="992"/>
              </w:rPr>
              <w:t xml:space="preserve">Блок реквизитов в табличной части «Данные об организации»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Тип документа по справочнику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значения из справочника «Типы документов.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Код по Сводному реестру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код по Сводному реестру. Заполняется вручную выбором актуальной записи из справочника «Сводный реестр» из реквизита «Код организации».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Наименование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Вручную указывается наименование текущего ШЛС.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Группа рискоемкости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из списка значений «1 – особой важности», «2 – высокий», «3 – средний», «4 – низкий»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Специализация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код специализации. Заполняется выбором актуальной записи из справочника «Перечень специализаций»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Код ТОФК</w:t>
            </w:r>
            <w:r>
              <w:t xml:space="preserve">/ТО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t xml:space="preserve">Не заполняется.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Признак автоподписи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Чекбокс. В положении «Да» (вкл.) разрешает автоматическое подписание формуляра исполнителем и согласующим.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Шаблон по умолчанию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Чекбокс. В положении «Да» (вкл.) устанавливает данный ШЛС как шаблон по умолчанию.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  <w:rPr>
                <w:rStyle w:val="992"/>
              </w:rPr>
            </w:pPr>
            <w:r>
              <w:rPr>
                <w:rStyle w:val="992"/>
              </w:rPr>
              <w:t xml:space="preserve">Блок «Исполнитель»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Порядок исполнения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очередность исполнения от 1 по порядку. При параллельном исполнении указываются одинаковые цифры, при последовательном цифры по порядку.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ФИО Исполнителя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из списка справочника «Организационно-штатная структура» (далее – ОШС).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Необходимость подписания ЭП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необходимость подписания ЭП пользователя (выбор из значений «Да»/«Нет»).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  <w:rPr>
                <w:rStyle w:val="994"/>
              </w:rPr>
            </w:pPr>
            <w:r>
              <w:rPr>
                <w:rStyle w:val="992"/>
              </w:rPr>
              <w:t xml:space="preserve">Блок «Согласующие»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Порядок согласования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очередность согласования от 1 по порядку. При параллельном согласовании указываются одинаковые цифры, при последовательном цифры по порядку.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ФИО утверждающего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из списка справочника «Организационно-штатная структура» (далее – ОШС).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Необходимость подписания ЭП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необходимость подписания ЭП пользователя (выбор из значений «Да»/«Нет»).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  <w:rPr>
                <w:b/>
              </w:rPr>
            </w:pPr>
            <w:r>
              <w:rPr>
                <w:b/>
              </w:rPr>
              <w:t xml:space="preserve">Блок «Утверждающие»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  <w:rPr>
                <w:rStyle w:val="994"/>
              </w:rPr>
            </w:pPr>
            <w:r>
              <w:rPr>
                <w:rStyle w:val="994"/>
              </w:rPr>
              <w:t xml:space="preserve">Табличная часть «Главный бухгалтер»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Порядок согласования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очередность согласования от 1 по порядку. При параллельном согласовании указываются одинаковые цифры, при последовательном цифры по порядку.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ФИО утверждающего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из списка справочника «Организационно-штатная структура» (далее – ОШС).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Необходимость подписания ЭП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необходимость подписания ЭП пользователя (выбор из значений «Да»/«Нет»).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  <w:rPr>
                <w:rStyle w:val="994"/>
              </w:rPr>
            </w:pPr>
            <w:r>
              <w:rPr>
                <w:rStyle w:val="994"/>
              </w:rPr>
              <w:t xml:space="preserve">Табличная часть «Руководитель ФЭС»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Порядок согласования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очередность согласования от 1 по порядку. При параллельном согласовании указываются одинаковые цифры, при последовательном цифры по порядку.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ФИО утверждающего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из списка справочника «Организационно-штатная структура» (далее – ОШС).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Необходимость подписания ЭП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необходимость подписания ЭП пользователя (выбор из значений «Да»/«Нет»).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pStyle w:val="996"/>
            </w:pPr>
            <w:r>
              <w:rPr>
                <w:rStyle w:val="994"/>
              </w:rPr>
              <w:t xml:space="preserve">Табличная часть «Руководитель»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Порядок согласования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очередность согласования от 1 по порядку. При параллельном согласовании указываются одинаковые цифры, при последовательном цифры по порядку.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ФИО утверждающего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Выбор из списка справочника «Организационно-штатная структура» (далее – ОШС).</w:t>
            </w:r>
            <w:r/>
          </w:p>
        </w:tc>
      </w:tr>
      <w:tr>
        <w:trPr/>
        <w:tc>
          <w:tcPr>
            <w:tcW w:w="1696" w:type="pct"/>
            <w:textDirection w:val="lrTb"/>
            <w:noWrap w:val="false"/>
          </w:tcPr>
          <w:p>
            <w:pPr>
              <w:pStyle w:val="996"/>
            </w:pPr>
            <w:r>
              <w:t xml:space="preserve">Необходимость подписания ЭП</w:t>
            </w:r>
            <w:r/>
          </w:p>
        </w:tc>
        <w:tc>
          <w:tcPr>
            <w:tcW w:w="3304" w:type="pct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необходимость подписания ЭП пользователя (выбор из значений «Да»/«Нет»).</w:t>
            </w:r>
            <w:r/>
          </w:p>
        </w:tc>
      </w:tr>
    </w:tbl>
    <w:p>
      <w:pPr>
        <w:pStyle w:val="1147"/>
        <w:numPr>
          <w:ilvl w:val="0"/>
          <w:numId w:val="17"/>
        </w:numPr>
      </w:pPr>
      <w:r>
        <w:t xml:space="preserve">При необ</w:t>
      </w:r>
      <w:r>
        <w:t xml:space="preserve">ходимости в разделах «Исполнитель», «Согласующие», «Утверждающие» добавить в табличную часть строки для указания пользователей, имеющих на это права. После добавления пользователя в табличную часть в нужном формуляре заполнится вкладка «Лист согласования».</w:t>
      </w:r>
      <w:r/>
    </w:p>
    <w:p>
      <w:pPr>
        <w:pStyle w:val="987"/>
      </w:pPr>
      <w:r>
        <w:rPr>
          <w:rStyle w:val="992"/>
        </w:rPr>
        <w:t xml:space="preserve">Примечание.</w:t>
      </w:r>
      <w:r>
        <w:tab/>
        <w:t xml:space="preserve">В случае если в организации отсутствует главный бухгалтер (организации с неполным составом утверждающи</w:t>
      </w:r>
      <w:r>
        <w:t xml:space="preserve">х), то руководитель, помимо утверждающего, должен получить роль главного бухгалтера. Допустимые для главного бухгалтера роли перечислены в табличной части «Описание набора ЭП» справочника «Типы документов» (для типа документа, на который создается шаблон).</w:t>
      </w:r>
      <w:r/>
    </w:p>
    <w:p>
      <w:pPr>
        <w:pStyle w:val="1147"/>
        <w:numPr>
          <w:ilvl w:val="0"/>
          <w:numId w:val="1"/>
        </w:numPr>
      </w:pPr>
      <w:r>
        <w:t xml:space="preserve">Существуют последовательные и параллельные процессы исполнения/согласования/утверждения.</w:t>
      </w:r>
      <w:r/>
    </w:p>
    <w:p>
      <w:pPr>
        <w:ind w:left="1021" w:firstLine="0"/>
        <w:tabs>
          <w:tab w:val="left" w:pos="1021" w:leader="none"/>
        </w:tabs>
      </w:pPr>
      <w:r>
        <w:t xml:space="preserve">Последовательное согласование необ</w:t>
      </w:r>
      <w:r>
        <w:t xml:space="preserve">ходимо в случае, если нескольким пользователям нужно выполнить операцию по исполнению/согласованию/утверждению друг за другом. Для этого в поле «Порядок согласования» указывают цифры по порядку, например «1, 2, 3» в зависимости от количества пользователей.</w:t>
      </w:r>
      <w:r/>
    </w:p>
    <w:p>
      <w:pPr>
        <w:ind w:left="1021" w:firstLine="0"/>
        <w:tabs>
          <w:tab w:val="left" w:pos="1021" w:leader="none"/>
        </w:tabs>
      </w:pPr>
      <w:r>
        <w:t xml:space="preserve">Процесс параллельного исполнения/согласования/утверждения необходим в случае:</w:t>
      </w:r>
      <w:r/>
    </w:p>
    <w:p>
      <w:pPr>
        <w:pStyle w:val="978"/>
        <w:numPr>
          <w:ilvl w:val="0"/>
          <w:numId w:val="89"/>
        </w:numPr>
      </w:pPr>
      <w:r>
        <w:t xml:space="preserve">если у нескольких пользователей есть возможность в исполнении/согласовании/утверждении, но при этом выполнять данную функцию должен один;</w:t>
      </w:r>
      <w:r/>
    </w:p>
    <w:p>
      <w:pPr>
        <w:pStyle w:val="978"/>
        <w:numPr>
          <w:ilvl w:val="0"/>
          <w:numId w:val="89"/>
        </w:numPr>
      </w:pPr>
      <w:r>
        <w:t xml:space="preserve">если один из пользователей отсутствует, например, в отпуске.</w:t>
      </w:r>
      <w:r/>
    </w:p>
    <w:p>
      <w:pPr>
        <w:ind w:left="1021" w:firstLine="0"/>
        <w:tabs>
          <w:tab w:val="left" w:pos="1021" w:leader="none"/>
        </w:tabs>
      </w:pPr>
      <w:r>
        <w:t xml:space="preserve">В поле «Поряд</w:t>
      </w:r>
      <w:r>
        <w:t xml:space="preserve">ок согласования» указываются одинаковые цифры, например, «1, 1, 1» в зависимости от количества пользователей. В этом случае последовательный характер процессов исполнения/согласования/утверждения отсутствует и операции выполняются независимо друг от друга.</w:t>
      </w:r>
      <w:r/>
    </w:p>
    <w:p>
      <w:pPr>
        <w:pStyle w:val="1147"/>
        <w:numPr>
          <w:ilvl w:val="0"/>
          <w:numId w:val="17"/>
        </w:numPr>
      </w:pPr>
      <w:r>
        <w:t xml:space="preserve">Для проверки документа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1000" cy="289560"/>
                <wp:effectExtent l="19050" t="0" r="0" b="0"/>
                <wp:docPr id="33" name="Рисунок 4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6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381000" cy="289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mso-wrap-distance-left:0.0pt;mso-wrap-distance-top:0.0pt;mso-wrap-distance-right:0.0pt;mso-wrap-distance-bottom:0.0pt;width:30.0pt;height:22.8pt;" stroked="f" strokeweight="0.75pt">
                <v:path textboxrect="0,0,0,0"/>
                <v:imagedata r:id="rId52" o:title=""/>
              </v:shape>
            </w:pict>
          </mc:Fallback>
        </mc:AlternateContent>
      </w:r>
      <w:r>
        <w:t xml:space="preserve"> (</w:t>
      </w:r>
      <w:r>
        <w:t xml:space="preserve">«</w:t>
      </w:r>
      <w:r>
        <w:t xml:space="preserve">Проверить документ</w:t>
      </w:r>
      <w:r>
        <w:t xml:space="preserve">»</w:t>
      </w:r>
      <w:r>
        <w:t xml:space="preserve">).</w:t>
      </w:r>
      <w:r/>
    </w:p>
    <w:p>
      <w:pPr>
        <w:pStyle w:val="1147"/>
        <w:numPr>
          <w:ilvl w:val="0"/>
          <w:numId w:val="17"/>
        </w:numPr>
      </w:pPr>
      <w:r>
        <w:t xml:space="preserve">После прохождения всех контролей необходимо сохранить экземпляр формуляра «Шаблон листа согласования», нажав на </w:t>
      </w:r>
      <w:r>
        <w:t xml:space="preserve">кнопку «</w:t>
      </w:r>
      <w:r>
        <w:t xml:space="preserve">Сохранить» окна «Результаты проверки».</w:t>
      </w:r>
      <w:r/>
    </w:p>
    <w:p>
      <w:pPr>
        <w:pStyle w:val="1147"/>
        <w:numPr>
          <w:ilvl w:val="0"/>
          <w:numId w:val="17"/>
        </w:numPr>
      </w:pPr>
      <w:r>
        <w:t xml:space="preserve">Далее необходимо закрыть экземпляр формуляра «Шаблон листа согласования», нажав на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3840" cy="190500"/>
                <wp:effectExtent l="19050" t="0" r="3810" b="0"/>
                <wp:docPr id="34" name="Рисунок 4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8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mso-wrap-distance-left:0.0pt;mso-wrap-distance-top:0.0pt;mso-wrap-distance-right:0.0pt;mso-wrap-distance-bottom:0.0pt;width:19.2pt;height:15.0pt;" stroked="f" strokeweight="0.75pt">
                <v:path textboxrect="0,0,0,0"/>
                <v:imagedata r:id="rId53" o:title=""/>
              </v:shape>
            </w:pict>
          </mc:Fallback>
        </mc:AlternateContent>
      </w:r>
      <w:r>
        <w:t xml:space="preserve"> (</w:t>
      </w:r>
      <w:r>
        <w:t xml:space="preserve">«</w:t>
      </w:r>
      <w:r>
        <w:t xml:space="preserve">Закрыть окно редактирования</w:t>
      </w:r>
      <w:r>
        <w:t xml:space="preserve">»</w:t>
      </w:r>
      <w:r>
        <w:t xml:space="preserve">) в верхнем правом углу.</w:t>
      </w:r>
      <w:r/>
    </w:p>
    <w:p>
      <w:pPr>
        <w:pStyle w:val="1147"/>
        <w:numPr>
          <w:ilvl w:val="0"/>
          <w:numId w:val="17"/>
        </w:numPr>
      </w:pPr>
      <w:r>
        <w:t xml:space="preserve">Можно также воспользоваться кнопкой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5260" cy="190500"/>
                <wp:effectExtent l="19050" t="0" r="0" b="0"/>
                <wp:docPr id="35" name="Рисунок 6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17526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mso-wrap-distance-left:0.0pt;mso-wrap-distance-top:0.0pt;mso-wrap-distance-right:0.0pt;mso-wrap-distance-bottom:0.0pt;width:13.8pt;height:15.0pt;" stroked="f" strokeweight="0.75pt">
                <v:path textboxrect="0,0,0,0"/>
                <v:imagedata r:id="rId54" o:title=""/>
              </v:shape>
            </w:pict>
          </mc:Fallback>
        </mc:AlternateContent>
      </w:r>
      <w:r>
        <w:t xml:space="preserve"> (</w:t>
      </w:r>
      <w:r>
        <w:t xml:space="preserve">«</w:t>
      </w:r>
      <w:r>
        <w:t xml:space="preserve">Сохранить изменения и закрыть окно</w:t>
      </w:r>
      <w:r>
        <w:t xml:space="preserve">»</w:t>
      </w:r>
      <w:r>
        <w:t xml:space="preserve">) или кнопкой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3360" cy="236220"/>
                <wp:effectExtent l="19050" t="0" r="0" b="0"/>
                <wp:docPr id="36" name="Рисунок 6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4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213360" cy="236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mso-wrap-distance-left:0.0pt;mso-wrap-distance-top:0.0pt;mso-wrap-distance-right:0.0pt;mso-wrap-distance-bottom:0.0pt;width:16.8pt;height:18.6pt;" stroked="f" strokeweight="0.75pt">
                <v:path textboxrect="0,0,0,0"/>
                <v:imagedata r:id="rId55" o:title=""/>
              </v:shape>
            </w:pict>
          </mc:Fallback>
        </mc:AlternateContent>
      </w:r>
      <w:r>
        <w:t xml:space="preserve"> (</w:t>
      </w:r>
      <w:r>
        <w:t xml:space="preserve">«</w:t>
      </w:r>
      <w:r>
        <w:t xml:space="preserve">Сохранить изменения</w:t>
      </w:r>
      <w:r>
        <w:t xml:space="preserve">»</w:t>
      </w:r>
      <w:r>
        <w:t xml:space="preserve">) и кнопкой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3840" cy="190500"/>
                <wp:effectExtent l="19050" t="0" r="3810" b="0"/>
                <wp:docPr id="37" name="Рисунок 4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8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mso-wrap-distance-left:0.0pt;mso-wrap-distance-top:0.0pt;mso-wrap-distance-right:0.0pt;mso-wrap-distance-bottom:0.0pt;width:19.2pt;height:15.0pt;" stroked="f" strokeweight="0.75pt">
                <v:path textboxrect="0,0,0,0"/>
                <v:imagedata r:id="rId53" o:title=""/>
              </v:shape>
            </w:pict>
          </mc:Fallback>
        </mc:AlternateContent>
      </w:r>
      <w:r>
        <w:t xml:space="preserve"> (</w:t>
      </w:r>
      <w:r>
        <w:t xml:space="preserve">«</w:t>
      </w:r>
      <w:r>
        <w:t xml:space="preserve">Закрыть окно редактирования</w:t>
      </w:r>
      <w:r>
        <w:t xml:space="preserve">»</w:t>
      </w:r>
      <w:r>
        <w:t xml:space="preserve">).</w:t>
      </w:r>
      <w:r/>
    </w:p>
    <w:p>
      <w:pPr>
        <w:pStyle w:val="964"/>
        <w:rPr>
          <w:rFonts w:eastAsiaTheme="majorEastAsia"/>
        </w:rPr>
      </w:pPr>
      <w:r>
        <w:rPr>
          <w:rFonts w:eastAsiaTheme="majorEastAsia"/>
        </w:rPr>
        <w:t xml:space="preserve">Использование сохраненных записей справочника «Шаблон листа согласования»</w:t>
      </w:r>
      <w:r/>
    </w:p>
    <w:p>
      <w:pPr>
        <w:pStyle w:val="985"/>
      </w:pPr>
      <w:r>
        <w:t xml:space="preserve">При создании новых документов</w:t>
      </w:r>
      <w:r>
        <w:t xml:space="preserve">, используемых при ведении денежных обязательств </w:t>
      </w:r>
      <w:r>
        <w:t xml:space="preserve">для настройки листа согласования можно воспользоваться сохраненными записями справочника «Шаблон листа согласования». Для этого необходимо на вкладке «Лист согласования» в верхнем левом углу нажать на активную ссылку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724025" cy="219075"/>
                <wp:effectExtent l="19050" t="0" r="9525" b="0"/>
                <wp:docPr id="38" name="Рисунок 2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1724025" cy="2190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mso-wrap-distance-left:0.0pt;mso-wrap-distance-top:0.0pt;mso-wrap-distance-right:0.0pt;mso-wrap-distance-bottom:0.0pt;width:135.8pt;height:17.2pt;" stroked="f" strokeweight="0.75pt">
                <v:path textboxrect="0,0,0,0"/>
                <v:imagedata r:id="rId56" o:title=""/>
              </v:shape>
            </w:pict>
          </mc:Fallback>
        </mc:AlternateContent>
      </w:r>
      <w:r>
        <w:t xml:space="preserve">. Для выбора будут доступны шаблоны, в которых исполнителем указан текущий пользователь.</w:t>
      </w:r>
      <w:r/>
    </w:p>
    <w:p>
      <w:pPr>
        <w:pStyle w:val="963"/>
      </w:pPr>
      <w:r/>
      <w:bookmarkStart w:id="788" w:name="_Toc15564730"/>
      <w:r/>
      <w:bookmarkStart w:id="789" w:name="_Toc20229508"/>
      <w:r/>
      <w:bookmarkStart w:id="790" w:name="_Toc62446050"/>
      <w:r/>
      <w:bookmarkStart w:id="791" w:name="_Toc511117235"/>
      <w:r/>
      <w:bookmarkStart w:id="792" w:name="_Toc517687788"/>
      <w:r>
        <w:t xml:space="preserve">Общие справочники</w:t>
      </w:r>
      <w:bookmarkEnd w:id="788"/>
      <w:r/>
      <w:bookmarkEnd w:id="789"/>
      <w:r/>
      <w:bookmarkEnd w:id="790"/>
      <w:r/>
      <w:r/>
    </w:p>
    <w:p>
      <w:pPr>
        <w:pStyle w:val="985"/>
      </w:pPr>
      <w:r>
        <w:t xml:space="preserve">Общие справочники, приведенные в данном разделе в качестве обзорной информации, доступны пользователям ПУР ЭБ исключительно для просмотра.</w:t>
      </w:r>
      <w:r/>
    </w:p>
    <w:p>
      <w:pPr>
        <w:pStyle w:val="985"/>
      </w:pPr>
      <w:r>
        <w:t xml:space="preserve">Для просмотра справочников необходимо выполнить следующие действия:</w:t>
      </w:r>
      <w:r/>
    </w:p>
    <w:p>
      <w:pPr>
        <w:pStyle w:val="1147"/>
        <w:numPr>
          <w:ilvl w:val="0"/>
          <w:numId w:val="31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 (</w:t>
      </w:r>
      <w:r>
        <w:t xml:space="preserve">рис. </w:t>
      </w:r>
      <w:r>
        <w:fldChar w:fldCharType="begin"/>
      </w:r>
      <w:r>
        <w:instrText xml:space="preserve"> REF _Ref15038245 \h </w:instrText>
      </w:r>
      <w:r>
        <w:fldChar w:fldCharType="separate"/>
      </w:r>
      <w:r>
        <w:rPr>
          <w:lang w:val="en-US"/>
        </w:rPr>
        <w:t xml:space="preserve">10</w:t>
      </w:r>
      <w:r>
        <w:fldChar w:fldCharType="end"/>
      </w:r>
      <w:r>
        <w:t xml:space="preserve">).</w:t>
      </w:r>
      <w:r/>
    </w:p>
    <w:p>
      <w:pPr>
        <w:pStyle w:val="1147"/>
        <w:numPr>
          <w:ilvl w:val="0"/>
          <w:numId w:val="1"/>
        </w:numPr>
      </w:pPr>
      <w:r>
        <w:t xml:space="preserve">Выбрать нужный справочник из списка доступных. Список доступных справочников может меняться в зависимости от пользовательских настроек.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704715"/>
                <wp:effectExtent l="0" t="0" r="0" b="0"/>
                <wp:docPr id="39" name="Рисунок 67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6120130" cy="4704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mso-wrap-distance-left:0.0pt;mso-wrap-distance-top:0.0pt;mso-wrap-distance-right:0.0pt;mso-wrap-distance-bottom:0.0pt;width:481.9pt;height:370.4pt;" stroked="false">
                <v:path textboxrect="0,0,0,0"/>
                <v:imagedata r:id="rId57" o:title=""/>
              </v:shape>
            </w:pict>
          </mc:Fallback>
        </mc:AlternateContent>
      </w:r>
      <w:r/>
    </w:p>
    <w:p>
      <w:pPr>
        <w:pStyle w:val="974"/>
      </w:pPr>
      <w:r>
        <w:rPr>
          <w:lang w:val="en-US"/>
        </w:rPr>
        <w:fldChar w:fldCharType="begin"/>
      </w:r>
      <w:r>
        <w:rPr>
          <w:lang w:val="en-US"/>
        </w:rPr>
        <w:instrText xml:space="preserve"> SEQ Рисунок \* ARABIC </w:instrText>
      </w:r>
      <w:r>
        <w:rPr>
          <w:lang w:val="en-US"/>
        </w:rPr>
        <w:fldChar w:fldCharType="separate"/>
      </w:r>
      <w:bookmarkStart w:id="793" w:name="_Ref15038245"/>
      <w:r/>
      <w:bookmarkStart w:id="794" w:name="_Toc15564960"/>
      <w:r/>
      <w:bookmarkStart w:id="795" w:name="_Toc20229555"/>
      <w:r/>
      <w:bookmarkStart w:id="796" w:name="_Toc59804465"/>
      <w:r>
        <w:rPr>
          <w:lang w:val="en-US"/>
        </w:rPr>
        <w:t xml:space="preserve">10</w:t>
      </w:r>
      <w:bookmarkEnd w:id="793"/>
      <w:r>
        <w:rPr>
          <w:lang w:val="en-US"/>
        </w:rPr>
        <w:fldChar w:fldCharType="end"/>
      </w:r>
      <w:r>
        <w:t xml:space="preserve">. </w:t>
      </w:r>
      <w:r>
        <w:t xml:space="preserve">Пункт меню </w:t>
      </w:r>
      <w:r>
        <w:t xml:space="preserve">«Справочники»</w:t>
      </w:r>
      <w:bookmarkEnd w:id="794"/>
      <w:r/>
      <w:bookmarkEnd w:id="795"/>
      <w:r/>
      <w:bookmarkEnd w:id="796"/>
      <w:r/>
      <w:r/>
    </w:p>
    <w:p>
      <w:pPr>
        <w:pStyle w:val="985"/>
      </w:pPr>
      <w:r>
        <w:t xml:space="preserve">Перечень справочников, присутствующих в списке:</w:t>
      </w:r>
      <w:r/>
    </w:p>
    <w:p>
      <w:pPr>
        <w:pStyle w:val="976"/>
      </w:pPr>
      <w:r>
        <w:t xml:space="preserve">Учет и Отчетность:</w:t>
      </w:r>
      <w:r/>
    </w:p>
    <w:p>
      <w:pPr>
        <w:pStyle w:val="977"/>
      </w:pPr>
      <w:r>
        <w:t xml:space="preserve">Структуры документов для учета;</w:t>
      </w:r>
      <w:r/>
    </w:p>
    <w:p>
      <w:pPr>
        <w:pStyle w:val="977"/>
      </w:pPr>
      <w:r>
        <w:t xml:space="preserve">Настройка запросов к </w:t>
      </w:r>
      <w:r>
        <w:rPr>
          <w:rStyle w:val="1220"/>
        </w:rPr>
        <w:t xml:space="preserve">ПУиО</w:t>
      </w:r>
      <w:r>
        <w:t xml:space="preserve">;</w:t>
      </w:r>
      <w:r/>
    </w:p>
    <w:p>
      <w:pPr>
        <w:pStyle w:val="977"/>
      </w:pPr>
      <w:r>
        <w:t xml:space="preserve">Перечень показателей состояния лицевого счета;</w:t>
      </w:r>
      <w:r/>
    </w:p>
    <w:p>
      <w:pPr>
        <w:pStyle w:val="977"/>
      </w:pPr>
      <w:r>
        <w:t xml:space="preserve">Показатели состояния лицевого счета;</w:t>
      </w:r>
      <w:r/>
    </w:p>
    <w:p>
      <w:pPr>
        <w:pStyle w:val="976"/>
      </w:pPr>
      <w:r>
        <w:t xml:space="preserve">Таблица соответствия КБК;</w:t>
      </w:r>
      <w:r/>
    </w:p>
    <w:p>
      <w:pPr>
        <w:pStyle w:val="976"/>
      </w:pPr>
      <w:r>
        <w:t xml:space="preserve">ГРБС, </w:t>
      </w:r>
      <w:r>
        <w:rPr>
          <w:rStyle w:val="1220"/>
        </w:rPr>
        <w:t xml:space="preserve">необслуживающиеся</w:t>
      </w:r>
      <w:r>
        <w:t xml:space="preserve"> в ЭБ;</w:t>
      </w:r>
      <w:r/>
    </w:p>
    <w:p>
      <w:pPr>
        <w:pStyle w:val="976"/>
      </w:pPr>
      <w:r>
        <w:t xml:space="preserve">Виды НПА (Законодательные и иные правовые акты, определяющие расходные обязательства РФ);</w:t>
      </w:r>
      <w:r/>
    </w:p>
    <w:p>
      <w:pPr>
        <w:pStyle w:val="976"/>
      </w:pPr>
      <w:r>
        <w:t xml:space="preserve">Федеральные адресные инвестиционные программы (ФАИП);</w:t>
      </w:r>
      <w:r/>
    </w:p>
    <w:p>
      <w:pPr>
        <w:pStyle w:val="976"/>
      </w:pPr>
      <w:r>
        <w:t xml:space="preserve">Коды глав (ведомств);</w:t>
      </w:r>
      <w:r/>
    </w:p>
    <w:p>
      <w:pPr>
        <w:pStyle w:val="976"/>
      </w:pPr>
      <w:r>
        <w:t xml:space="preserve">Коды видов расходов;</w:t>
      </w:r>
      <w:r/>
    </w:p>
    <w:p>
      <w:pPr>
        <w:pStyle w:val="976"/>
      </w:pPr>
      <w:r>
        <w:t xml:space="preserve">Коды по ФКР;</w:t>
      </w:r>
      <w:r/>
    </w:p>
    <w:p>
      <w:pPr>
        <w:pStyle w:val="976"/>
      </w:pPr>
      <w:r>
        <w:t xml:space="preserve">Коды целей;</w:t>
      </w:r>
      <w:r/>
    </w:p>
    <w:p>
      <w:pPr>
        <w:pStyle w:val="976"/>
      </w:pPr>
      <w:r>
        <w:t xml:space="preserve">Коды по КЦСР;</w:t>
      </w:r>
      <w:r/>
    </w:p>
    <w:p>
      <w:pPr>
        <w:pStyle w:val="976"/>
      </w:pPr>
      <w:r>
        <w:t xml:space="preserve">Коды бюджетной классификации (КБК);</w:t>
      </w:r>
      <w:r/>
    </w:p>
    <w:p>
      <w:pPr>
        <w:pStyle w:val="976"/>
      </w:pPr>
      <w:r>
        <w:t xml:space="preserve">Коды бюджетной классификации Расходы (КБК);</w:t>
      </w:r>
      <w:r/>
    </w:p>
    <w:p>
      <w:pPr>
        <w:pStyle w:val="976"/>
      </w:pPr>
      <w:r>
        <w:t xml:space="preserve">Единый государственный реестр юридических лиц (ЕГРЮЛ);</w:t>
      </w:r>
      <w:r/>
    </w:p>
    <w:p>
      <w:pPr>
        <w:pStyle w:val="976"/>
      </w:pPr>
      <w:r>
        <w:t xml:space="preserve">Сводный реестр;</w:t>
      </w:r>
      <w:r/>
    </w:p>
    <w:p>
      <w:pPr>
        <w:pStyle w:val="976"/>
      </w:pPr>
      <w:r>
        <w:t xml:space="preserve">Лицевые счета;</w:t>
      </w:r>
      <w:r/>
    </w:p>
    <w:p>
      <w:pPr>
        <w:pStyle w:val="976"/>
      </w:pPr>
      <w:r>
        <w:t xml:space="preserve">ТОФК;</w:t>
      </w:r>
      <w:r/>
    </w:p>
    <w:p>
      <w:pPr>
        <w:pStyle w:val="976"/>
      </w:pPr>
      <w:r>
        <w:t xml:space="preserve">Бюджеты;</w:t>
      </w:r>
      <w:r/>
    </w:p>
    <w:p>
      <w:pPr>
        <w:pStyle w:val="976"/>
      </w:pPr>
      <w:r>
        <w:t xml:space="preserve">Таблица соответствия кодов ОКАТО кодам ОКТМО;</w:t>
      </w:r>
      <w:r/>
    </w:p>
    <w:p>
      <w:pPr>
        <w:pStyle w:val="976"/>
      </w:pPr>
      <w:r>
        <w:t xml:space="preserve">Таблица соответствия Видов Типам;</w:t>
      </w:r>
      <w:r/>
    </w:p>
    <w:p>
      <w:pPr>
        <w:pStyle w:val="976"/>
      </w:pPr>
      <w:r>
        <w:t xml:space="preserve">Виды соглашений МФ;</w:t>
      </w:r>
      <w:r/>
    </w:p>
    <w:p>
      <w:pPr>
        <w:pStyle w:val="976"/>
      </w:pPr>
      <w:r>
        <w:t xml:space="preserve">Группировка показателей ЛС;</w:t>
      </w:r>
      <w:r/>
    </w:p>
    <w:p>
      <w:pPr>
        <w:pStyle w:val="976"/>
      </w:pPr>
      <w:r>
        <w:t xml:space="preserve">КБК Виды источников 2.0;</w:t>
      </w:r>
      <w:r/>
    </w:p>
    <w:p>
      <w:pPr>
        <w:pStyle w:val="976"/>
      </w:pPr>
      <w:r>
        <w:t xml:space="preserve">Общероссийские классификаторы:</w:t>
      </w:r>
      <w:r/>
    </w:p>
    <w:p>
      <w:pPr>
        <w:pStyle w:val="977"/>
      </w:pPr>
      <w:r>
        <w:t xml:space="preserve">Общероссийский классификатор территорий муниципальных образований (ОКТМО);</w:t>
      </w:r>
      <w:r/>
    </w:p>
    <w:p>
      <w:pPr>
        <w:pStyle w:val="977"/>
      </w:pPr>
      <w:r>
        <w:t xml:space="preserve">Общероссийский классификатор стран мира (ОКСМ);</w:t>
      </w:r>
      <w:r/>
    </w:p>
    <w:p>
      <w:pPr>
        <w:pStyle w:val="977"/>
      </w:pPr>
      <w:r>
        <w:t xml:space="preserve">Общероссийский классификатор единиц измерения (ОКЕИ);</w:t>
      </w:r>
      <w:r/>
    </w:p>
    <w:p>
      <w:pPr>
        <w:pStyle w:val="977"/>
      </w:pPr>
      <w:r>
        <w:t xml:space="preserve">Общероссийский классификатор валют (ОКВ);</w:t>
      </w:r>
      <w:r/>
    </w:p>
    <w:p>
      <w:pPr>
        <w:pStyle w:val="976"/>
      </w:pPr>
      <w:r>
        <w:t xml:space="preserve">Типы документов;</w:t>
      </w:r>
      <w:r/>
    </w:p>
    <w:p>
      <w:pPr>
        <w:pStyle w:val="976"/>
      </w:pPr>
      <w:r>
        <w:t xml:space="preserve">Типы контролей;</w:t>
      </w:r>
      <w:r/>
    </w:p>
    <w:p>
      <w:pPr>
        <w:pStyle w:val="976"/>
      </w:pPr>
      <w:r>
        <w:t xml:space="preserve">Сферы бюджетного планирования;</w:t>
      </w:r>
      <w:r/>
    </w:p>
    <w:p>
      <w:pPr>
        <w:pStyle w:val="976"/>
      </w:pPr>
      <w:r>
        <w:t xml:space="preserve">Департаменты МФ РФ;</w:t>
      </w:r>
      <w:r/>
    </w:p>
    <w:p>
      <w:pPr>
        <w:pStyle w:val="976"/>
      </w:pPr>
      <w:r>
        <w:t xml:space="preserve">Виды специальных указаний;</w:t>
      </w:r>
      <w:r/>
    </w:p>
    <w:p>
      <w:pPr>
        <w:pStyle w:val="976"/>
      </w:pPr>
      <w:r>
        <w:t xml:space="preserve">БА, ЛБО за счет лицевых иностранных кредитов и перечень ПНО;</w:t>
      </w:r>
      <w:r/>
    </w:p>
    <w:p>
      <w:pPr>
        <w:pStyle w:val="976"/>
      </w:pPr>
      <w:r>
        <w:t xml:space="preserve">Виды дополнительной информации для внесения в роспись;</w:t>
      </w:r>
      <w:r/>
    </w:p>
    <w:p>
      <w:pPr>
        <w:pStyle w:val="976"/>
      </w:pPr>
      <w:r>
        <w:t xml:space="preserve">Виды изменений СБР;</w:t>
      </w:r>
      <w:r/>
    </w:p>
    <w:p>
      <w:pPr>
        <w:pStyle w:val="976"/>
      </w:pPr>
      <w:r>
        <w:t xml:space="preserve">Виды оснований для внесения изменений в Роспись (По вопросу);</w:t>
      </w:r>
      <w:r/>
    </w:p>
    <w:p>
      <w:pPr>
        <w:pStyle w:val="976"/>
      </w:pPr>
      <w:r>
        <w:t xml:space="preserve">Аналитические коды;</w:t>
      </w:r>
      <w:r/>
    </w:p>
    <w:p>
      <w:pPr>
        <w:pStyle w:val="976"/>
      </w:pPr>
      <w:r>
        <w:t xml:space="preserve">Количество лет бюджетного планирования;</w:t>
      </w:r>
      <w:r/>
    </w:p>
    <w:p>
      <w:pPr>
        <w:pStyle w:val="976"/>
      </w:pPr>
      <w:r>
        <w:t xml:space="preserve">Иерархия КБК;</w:t>
      </w:r>
      <w:r/>
    </w:p>
    <w:p>
      <w:pPr>
        <w:pStyle w:val="976"/>
      </w:pPr>
      <w:r>
        <w:t xml:space="preserve">Перечень кодов мероприятий по информатизации;</w:t>
      </w:r>
      <w:r/>
    </w:p>
    <w:p>
      <w:pPr>
        <w:pStyle w:val="976"/>
      </w:pPr>
      <w:r>
        <w:t xml:space="preserve">Взаимодействие с внешними системами;</w:t>
      </w:r>
      <w:r/>
    </w:p>
    <w:p>
      <w:pPr>
        <w:pStyle w:val="976"/>
      </w:pPr>
      <w:r>
        <w:t xml:space="preserve">Период действия ПОФР;</w:t>
      </w:r>
      <w:r/>
    </w:p>
    <w:p>
      <w:pPr>
        <w:pStyle w:val="976"/>
      </w:pPr>
      <w:r>
        <w:t xml:space="preserve">КБК Источники;</w:t>
      </w:r>
      <w:r/>
    </w:p>
    <w:p>
      <w:pPr>
        <w:pStyle w:val="976"/>
      </w:pPr>
      <w:r>
        <w:t xml:space="preserve">Контрольные сроки обработки документов;</w:t>
      </w:r>
      <w:r/>
    </w:p>
    <w:p>
      <w:pPr>
        <w:pStyle w:val="976"/>
      </w:pPr>
      <w:r>
        <w:t xml:space="preserve">Центр компетенции;</w:t>
      </w:r>
      <w:r/>
    </w:p>
    <w:p>
      <w:pPr>
        <w:pStyle w:val="976"/>
      </w:pPr>
      <w:r>
        <w:t xml:space="preserve">Связи документов;</w:t>
      </w:r>
      <w:r/>
    </w:p>
    <w:p>
      <w:pPr>
        <w:pStyle w:val="976"/>
      </w:pPr>
      <w:r>
        <w:t xml:space="preserve">Список организаций, которым не доступны функции формирования документов в ЕИС;</w:t>
      </w:r>
      <w:r/>
    </w:p>
    <w:p>
      <w:pPr>
        <w:pStyle w:val="976"/>
      </w:pPr>
      <w:r>
        <w:t xml:space="preserve">Соответствие типов БС и ЛС;</w:t>
      </w:r>
      <w:r/>
    </w:p>
    <w:p>
      <w:pPr>
        <w:pStyle w:val="976"/>
      </w:pPr>
      <w:r>
        <w:t xml:space="preserve">Банковские счета ФК;</w:t>
      </w:r>
      <w:r/>
    </w:p>
    <w:p>
      <w:pPr>
        <w:pStyle w:val="976"/>
      </w:pPr>
      <w:r>
        <w:t xml:space="preserve">Российские банки;</w:t>
      </w:r>
      <w:r/>
    </w:p>
    <w:p>
      <w:pPr>
        <w:pStyle w:val="976"/>
      </w:pPr>
      <w:r>
        <w:t xml:space="preserve">Соответствие Центров Специализации и Расчетных Центров при казначейском сопровождении;</w:t>
      </w:r>
      <w:r/>
    </w:p>
    <w:p>
      <w:pPr>
        <w:pStyle w:val="976"/>
      </w:pPr>
      <w:r>
        <w:t xml:space="preserve">Соответствие банковского счета ТОФК (40116) организации, включенной в Сводный реестр;</w:t>
      </w:r>
      <w:r/>
    </w:p>
    <w:p>
      <w:pPr>
        <w:pStyle w:val="976"/>
      </w:pPr>
      <w:r>
        <w:t xml:space="preserve">Банковские карты.</w:t>
      </w:r>
      <w:r/>
    </w:p>
    <w:p>
      <w:pPr>
        <w:pStyle w:val="964"/>
      </w:pPr>
      <w:r/>
      <w:bookmarkStart w:id="797" w:name="_Toc15564731"/>
      <w:r>
        <w:t xml:space="preserve">Справочник «Структуры документов для учета»</w:t>
      </w:r>
      <w:bookmarkEnd w:id="797"/>
      <w:r/>
      <w:r/>
    </w:p>
    <w:p>
      <w:pPr>
        <w:pStyle w:val="1147"/>
        <w:numPr>
          <w:ilvl w:val="0"/>
          <w:numId w:val="32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«Структуры документов для учета» (</w:t>
      </w:r>
      <w:r>
        <w:t xml:space="preserve">рис. </w:t>
      </w:r>
      <w:r>
        <w:fldChar w:fldCharType="begin"/>
      </w:r>
      <w:r>
        <w:instrText xml:space="preserve"> REF _Ref15038246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96000" cy="3184525"/>
                <wp:effectExtent l="0" t="0" r="0" b="0"/>
                <wp:docPr id="40" name="Рисунок 4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2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6096000" cy="318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mso-wrap-distance-left:0.0pt;mso-wrap-distance-top:0.0pt;mso-wrap-distance-right:0.0pt;mso-wrap-distance-bottom:0.0pt;width:480.0pt;height:250.8pt;" stroked="false">
                <v:path textboxrect="0,0,0,0"/>
                <v:imagedata r:id="rId58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98" w:name="_Ref15038246"/>
      <w:r/>
      <w:bookmarkStart w:id="799" w:name="_Toc15564961"/>
      <w:r/>
      <w:bookmarkStart w:id="800" w:name="_Toc20229556"/>
      <w:r/>
      <w:bookmarkStart w:id="801" w:name="_Toc59804466"/>
      <w:r>
        <w:t xml:space="preserve">11</w:t>
      </w:r>
      <w:bookmarkEnd w:id="798"/>
      <w:r>
        <w:fldChar w:fldCharType="end"/>
      </w:r>
      <w:r>
        <w:t xml:space="preserve">. Структуры документов для учета</w:t>
      </w:r>
      <w:bookmarkEnd w:id="799"/>
      <w:r/>
      <w:bookmarkEnd w:id="800"/>
      <w:r/>
      <w:bookmarkEnd w:id="801"/>
      <w:r/>
      <w:r/>
    </w:p>
    <w:p>
      <w:pPr>
        <w:pStyle w:val="985"/>
      </w:pPr>
      <w:r>
        <w:t xml:space="preserve">Перечень полей списковой формы, присутствующих в справочнике по умолчанию:</w:t>
      </w:r>
      <w:r/>
    </w:p>
    <w:p>
      <w:pPr>
        <w:pStyle w:val="976"/>
      </w:pPr>
      <w:r>
        <w:t xml:space="preserve">Системное имя;</w:t>
      </w:r>
      <w:r/>
    </w:p>
    <w:p>
      <w:pPr>
        <w:pStyle w:val="976"/>
      </w:pPr>
      <w:r>
        <w:t xml:space="preserve">Группа </w:t>
      </w:r>
      <w:r>
        <w:rPr>
          <w:lang w:val="en-US"/>
        </w:rPr>
        <w:t xml:space="preserve">FAH</w:t>
      </w:r>
      <w:r>
        <w:t xml:space="preserve">;</w:t>
      </w:r>
      <w:r/>
    </w:p>
    <w:p>
      <w:pPr>
        <w:pStyle w:val="976"/>
      </w:pPr>
      <w:r>
        <w:t xml:space="preserve">Тип </w:t>
      </w:r>
      <w:r>
        <w:rPr>
          <w:lang w:val="en-US"/>
        </w:rPr>
        <w:t xml:space="preserve">FAH</w:t>
      </w:r>
      <w:r>
        <w:t xml:space="preserve">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Таблица хранения заголовка уфос;</w:t>
      </w:r>
      <w:r/>
    </w:p>
    <w:p>
      <w:pPr>
        <w:pStyle w:val="976"/>
      </w:pPr>
      <w:r>
        <w:t xml:space="preserve">Представление для проекции заголовка уфос;</w:t>
      </w:r>
      <w:r/>
    </w:p>
    <w:p>
      <w:pPr>
        <w:pStyle w:val="976"/>
      </w:pPr>
      <w:r>
        <w:t xml:space="preserve">Таблица хранения строк уфос;</w:t>
      </w:r>
      <w:r/>
    </w:p>
    <w:p>
      <w:pPr>
        <w:pStyle w:val="976"/>
      </w:pPr>
      <w:r>
        <w:t xml:space="preserve">Представление для проекции строк уфос;</w:t>
      </w:r>
      <w:r/>
    </w:p>
    <w:p>
      <w:pPr>
        <w:pStyle w:val="976"/>
      </w:pPr>
      <w:r>
        <w:t xml:space="preserve">Таблица хранения заголовка </w:t>
      </w:r>
      <w:r>
        <w:rPr>
          <w:lang w:val="en-US"/>
        </w:rPr>
        <w:t xml:space="preserve">FAH</w:t>
      </w:r>
      <w:r>
        <w:t xml:space="preserve">;</w:t>
      </w:r>
      <w:r/>
    </w:p>
    <w:p>
      <w:pPr>
        <w:pStyle w:val="976"/>
      </w:pPr>
      <w:r>
        <w:t xml:space="preserve">Таблица хранения строк </w:t>
      </w:r>
      <w:r>
        <w:rPr>
          <w:lang w:val="en-US"/>
        </w:rPr>
        <w:t xml:space="preserve">FAH</w:t>
      </w:r>
      <w:r>
        <w:t xml:space="preserve">.</w:t>
      </w:r>
      <w:r/>
    </w:p>
    <w:p>
      <w:pPr>
        <w:pStyle w:val="964"/>
        <w:rPr>
          <w:rStyle w:val="1220"/>
        </w:rPr>
      </w:pPr>
      <w:r/>
      <w:bookmarkStart w:id="802" w:name="_Toc15564732"/>
      <w:r>
        <w:t xml:space="preserve">Справочник «Настройка запросов к </w:t>
      </w:r>
      <w:r>
        <w:rPr>
          <w:rStyle w:val="1220"/>
        </w:rPr>
        <w:t xml:space="preserve">ПУиО</w:t>
      </w:r>
      <w:bookmarkEnd w:id="802"/>
      <w:r>
        <w:rPr>
          <w:rStyle w:val="1220"/>
        </w:rPr>
        <w:t xml:space="preserve">»</w:t>
      </w:r>
      <w:r/>
    </w:p>
    <w:p>
      <w:pPr>
        <w:pStyle w:val="1147"/>
        <w:numPr>
          <w:ilvl w:val="0"/>
          <w:numId w:val="33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«Настройка запросов к </w:t>
      </w:r>
      <w:r>
        <w:rPr>
          <w:rStyle w:val="1220"/>
        </w:rPr>
        <w:t xml:space="preserve">ПУиО</w:t>
      </w:r>
      <w:r>
        <w:t xml:space="preserve">» (</w:t>
      </w:r>
      <w:r>
        <w:t xml:space="preserve">рис. </w:t>
      </w:r>
      <w:r>
        <w:fldChar w:fldCharType="begin"/>
      </w:r>
      <w:r>
        <w:instrText xml:space="preserve"> REF _Ref15038247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048635"/>
                <wp:effectExtent l="0" t="0" r="0" b="0"/>
                <wp:docPr id="41" name="Рисунок 5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6153149" cy="304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mso-wrap-distance-left:0.0pt;mso-wrap-distance-top:0.0pt;mso-wrap-distance-right:0.0pt;mso-wrap-distance-bottom:0.0pt;width:484.5pt;height:240.0pt;" stroked="false">
                <v:path textboxrect="0,0,0,0"/>
                <v:imagedata r:id="rId59" o:title=""/>
              </v:shape>
            </w:pict>
          </mc:Fallback>
        </mc:AlternateContent>
      </w:r>
      <w:r/>
    </w:p>
    <w:p>
      <w:pPr>
        <w:pStyle w:val="974"/>
        <w:rPr>
          <w:rStyle w:val="1220"/>
        </w:rPr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03" w:name="_Ref15038247"/>
      <w:r/>
      <w:bookmarkStart w:id="804" w:name="_Toc15564962"/>
      <w:r/>
      <w:bookmarkStart w:id="805" w:name="_Toc20229557"/>
      <w:r/>
      <w:bookmarkStart w:id="806" w:name="_Toc59804467"/>
      <w:r>
        <w:t xml:space="preserve">12</w:t>
      </w:r>
      <w:bookmarkEnd w:id="803"/>
      <w:r>
        <w:fldChar w:fldCharType="end"/>
      </w:r>
      <w:r>
        <w:t xml:space="preserve">. Настройка запросов к </w:t>
      </w:r>
      <w:r>
        <w:rPr>
          <w:rStyle w:val="1220"/>
        </w:rPr>
        <w:t xml:space="preserve">ПУиО</w:t>
      </w:r>
      <w:bookmarkEnd w:id="804"/>
      <w:r/>
      <w:bookmarkEnd w:id="805"/>
      <w:r/>
      <w:bookmarkEnd w:id="80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Книга;</w:t>
      </w:r>
      <w:r/>
    </w:p>
    <w:p>
      <w:pPr>
        <w:pStyle w:val="976"/>
      </w:pPr>
      <w:r>
        <w:t xml:space="preserve">Формуляр;</w:t>
      </w:r>
      <w:r/>
    </w:p>
    <w:p>
      <w:pPr>
        <w:pStyle w:val="976"/>
      </w:pPr>
      <w:r>
        <w:t xml:space="preserve">Вид запрашиваемых остатков;</w:t>
      </w:r>
      <w:r/>
    </w:p>
    <w:p>
      <w:pPr>
        <w:pStyle w:val="976"/>
      </w:pPr>
      <w:r>
        <w:t xml:space="preserve">Таблица формуляра для регистрации полученных данных;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Статус.</w:t>
      </w:r>
      <w:r/>
    </w:p>
    <w:p>
      <w:pPr>
        <w:pStyle w:val="964"/>
      </w:pPr>
      <w:r/>
      <w:bookmarkStart w:id="807" w:name="_Toc15564733"/>
      <w:r>
        <w:t xml:space="preserve">Справочник «Перечень показателей состояния лицевого счета</w:t>
      </w:r>
      <w:bookmarkEnd w:id="807"/>
      <w:r>
        <w:t xml:space="preserve">»</w:t>
      </w:r>
      <w:r/>
    </w:p>
    <w:p>
      <w:pPr>
        <w:pStyle w:val="1147"/>
        <w:numPr>
          <w:ilvl w:val="0"/>
          <w:numId w:val="34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«Перечень показателей состояния лицевого счета» (</w:t>
      </w:r>
      <w:r>
        <w:t xml:space="preserve">рис. </w:t>
      </w:r>
      <w:r>
        <w:fldChar w:fldCharType="begin"/>
      </w:r>
      <w:r>
        <w:instrText xml:space="preserve"> REF _Ref15038248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2967355"/>
                <wp:effectExtent l="0" t="0" r="0" b="0"/>
                <wp:docPr id="42" name="Рисунок 5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4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6153149" cy="2967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mso-wrap-distance-left:0.0pt;mso-wrap-distance-top:0.0pt;mso-wrap-distance-right:0.0pt;mso-wrap-distance-bottom:0.0pt;width:484.5pt;height:233.6pt;" stroked="false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08" w:name="_Ref15038248"/>
      <w:r/>
      <w:bookmarkStart w:id="809" w:name="_Toc15564963"/>
      <w:r/>
      <w:bookmarkStart w:id="810" w:name="_Toc20229558"/>
      <w:r/>
      <w:bookmarkStart w:id="811" w:name="_Toc59804468"/>
      <w:r>
        <w:t xml:space="preserve">13</w:t>
      </w:r>
      <w:bookmarkEnd w:id="808"/>
      <w:r>
        <w:fldChar w:fldCharType="end"/>
      </w:r>
      <w:r>
        <w:t xml:space="preserve">. Перечень показателей состояния лицевого счета</w:t>
      </w:r>
      <w:bookmarkEnd w:id="809"/>
      <w:r/>
      <w:bookmarkEnd w:id="810"/>
      <w:r/>
      <w:bookmarkEnd w:id="81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Номер по порядку;</w:t>
      </w:r>
      <w:r/>
    </w:p>
    <w:p>
      <w:pPr>
        <w:pStyle w:val="976"/>
      </w:pPr>
      <w:r>
        <w:t xml:space="preserve">Наименование показателя;</w:t>
      </w:r>
      <w:r/>
    </w:p>
    <w:p>
      <w:pPr>
        <w:pStyle w:val="976"/>
      </w:pPr>
      <w:r>
        <w:t xml:space="preserve">Код показателя к книге бухгалтерского учета;</w:t>
      </w:r>
      <w:r/>
    </w:p>
    <w:p>
      <w:pPr>
        <w:pStyle w:val="976"/>
      </w:pPr>
      <w:r>
        <w:t xml:space="preserve">Код аналитического показателя состояния лицевого счета;</w:t>
      </w:r>
      <w:r/>
    </w:p>
    <w:p>
      <w:pPr>
        <w:pStyle w:val="976"/>
      </w:pPr>
      <w:r>
        <w:t xml:space="preserve">Код сегмента хранения показателя в книге бухгалтерского учета;</w:t>
      </w:r>
      <w:r/>
    </w:p>
    <w:p>
      <w:pPr>
        <w:pStyle w:val="976"/>
      </w:pPr>
      <w:r>
        <w:t xml:space="preserve">Код сегмента хранения аналитического в книге учета состояния лицевого счета;</w:t>
      </w:r>
      <w:r/>
    </w:p>
    <w:p>
      <w:pPr>
        <w:pStyle w:val="976"/>
      </w:pPr>
      <w:r>
        <w:t xml:space="preserve">Дата начала действия;</w:t>
      </w:r>
      <w:r/>
    </w:p>
    <w:p>
      <w:pPr>
        <w:pStyle w:val="976"/>
      </w:pPr>
      <w:r>
        <w:t xml:space="preserve">Дата окончания действия.</w:t>
      </w:r>
      <w:r/>
    </w:p>
    <w:p>
      <w:pPr>
        <w:pStyle w:val="964"/>
      </w:pPr>
      <w:r/>
      <w:bookmarkStart w:id="812" w:name="_Toc15564734"/>
      <w:r>
        <w:t xml:space="preserve">Справочник «Показатели состояния лицевого счета</w:t>
      </w:r>
      <w:bookmarkEnd w:id="812"/>
      <w:r>
        <w:t xml:space="preserve">»</w:t>
      </w:r>
      <w:r/>
    </w:p>
    <w:p>
      <w:pPr>
        <w:pStyle w:val="1147"/>
        <w:numPr>
          <w:ilvl w:val="0"/>
          <w:numId w:val="35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«Показатели состояния лицевого счета» (</w:t>
      </w:r>
      <w:r>
        <w:t xml:space="preserve">рис. </w:t>
      </w:r>
      <w:r>
        <w:fldChar w:fldCharType="begin"/>
      </w:r>
      <w:r>
        <w:instrText xml:space="preserve"> REF _Ref15038249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72200" cy="3097530"/>
                <wp:effectExtent l="0" t="0" r="0" b="0"/>
                <wp:docPr id="43" name="Рисунок 5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5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6172200" cy="30975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mso-wrap-distance-left:0.0pt;mso-wrap-distance-top:0.0pt;mso-wrap-distance-right:0.0pt;mso-wrap-distance-bottom:0.0pt;width:486.0pt;height:243.9pt;" stroked="false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13" w:name="_Ref15038249"/>
      <w:r/>
      <w:bookmarkStart w:id="814" w:name="_Toc15564964"/>
      <w:r/>
      <w:bookmarkStart w:id="815" w:name="_Toc20229559"/>
      <w:r/>
      <w:bookmarkStart w:id="816" w:name="_Toc59804469"/>
      <w:r>
        <w:t xml:space="preserve">14</w:t>
      </w:r>
      <w:bookmarkEnd w:id="813"/>
      <w:r>
        <w:fldChar w:fldCharType="end"/>
      </w:r>
      <w:r>
        <w:t xml:space="preserve">. Показатели состояния лицевого счета</w:t>
      </w:r>
      <w:bookmarkEnd w:id="814"/>
      <w:r/>
      <w:bookmarkEnd w:id="815"/>
      <w:r/>
      <w:bookmarkEnd w:id="81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Номер по порядку;</w:t>
      </w:r>
      <w:r/>
    </w:p>
    <w:p>
      <w:pPr>
        <w:pStyle w:val="976"/>
      </w:pPr>
      <w:r>
        <w:t xml:space="preserve">Коды ЛС, для которых доступно формирование показателя;</w:t>
      </w:r>
      <w:r/>
    </w:p>
    <w:p>
      <w:pPr>
        <w:pStyle w:val="976"/>
      </w:pPr>
      <w:r>
        <w:t xml:space="preserve">Код показателя;</w:t>
      </w:r>
      <w:r/>
    </w:p>
    <w:p>
      <w:pPr>
        <w:pStyle w:val="976"/>
      </w:pPr>
      <w:r>
        <w:t xml:space="preserve">Наименование показателя состояния лицевого счета;</w:t>
      </w:r>
      <w:r/>
    </w:p>
    <w:p>
      <w:pPr>
        <w:pStyle w:val="976"/>
      </w:pPr>
      <w:r>
        <w:t xml:space="preserve">Группировочный показатель;</w:t>
      </w:r>
      <w:r/>
    </w:p>
    <w:p>
      <w:pPr>
        <w:pStyle w:val="976"/>
      </w:pPr>
      <w:r>
        <w:t xml:space="preserve">Дата начала действия;</w:t>
      </w:r>
      <w:r/>
    </w:p>
    <w:p>
      <w:pPr>
        <w:pStyle w:val="976"/>
      </w:pPr>
      <w:r>
        <w:t xml:space="preserve">Дата окончания действия;</w:t>
      </w:r>
      <w:r/>
    </w:p>
    <w:p>
      <w:pPr>
        <w:pStyle w:val="976"/>
      </w:pPr>
      <w:r>
        <w:t xml:space="preserve">Статус документа.</w:t>
      </w:r>
      <w:r/>
    </w:p>
    <w:p>
      <w:pPr>
        <w:pStyle w:val="964"/>
      </w:pPr>
      <w:r/>
      <w:bookmarkStart w:id="817" w:name="_Toc15564735"/>
      <w:r>
        <w:t xml:space="preserve">Справочник «Таблица соответствия КБК</w:t>
      </w:r>
      <w:bookmarkEnd w:id="817"/>
      <w:r>
        <w:t xml:space="preserve">»</w:t>
      </w:r>
      <w:r/>
    </w:p>
    <w:p>
      <w:pPr>
        <w:pStyle w:val="1147"/>
        <w:numPr>
          <w:ilvl w:val="0"/>
          <w:numId w:val="36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«Таблица соответствия КБК» (</w:t>
      </w:r>
      <w:r>
        <w:t xml:space="preserve">рис. </w:t>
      </w:r>
      <w:r>
        <w:fldChar w:fldCharType="begin"/>
      </w:r>
      <w:r>
        <w:instrText xml:space="preserve"> REF _Ref15044191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2943225"/>
                <wp:effectExtent l="0" t="0" r="0" b="0"/>
                <wp:docPr id="44" name="Рисунок 5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6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6153149" cy="2943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mso-wrap-distance-left:0.0pt;mso-wrap-distance-top:0.0pt;mso-wrap-distance-right:0.0pt;mso-wrap-distance-bottom:0.0pt;width:484.5pt;height:231.8pt;" stroked="false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18" w:name="_Ref15044191"/>
      <w:r/>
      <w:bookmarkStart w:id="819" w:name="_Toc15564965"/>
      <w:r/>
      <w:bookmarkStart w:id="820" w:name="_Toc20229560"/>
      <w:r/>
      <w:bookmarkStart w:id="821" w:name="_Toc59804470"/>
      <w:r>
        <w:t xml:space="preserve">15</w:t>
      </w:r>
      <w:bookmarkEnd w:id="818"/>
      <w:r>
        <w:fldChar w:fldCharType="end"/>
      </w:r>
      <w:r>
        <w:t xml:space="preserve">. Таблица соответствия КБК</w:t>
      </w:r>
      <w:bookmarkEnd w:id="819"/>
      <w:r/>
      <w:bookmarkEnd w:id="820"/>
      <w:r/>
      <w:bookmarkEnd w:id="82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Действующий ЦСР;</w:t>
      </w:r>
      <w:r/>
    </w:p>
    <w:p>
      <w:pPr>
        <w:pStyle w:val="976"/>
      </w:pPr>
      <w:r>
        <w:t xml:space="preserve">Дата начала действия;</w:t>
      </w:r>
      <w:r/>
    </w:p>
    <w:p>
      <w:pPr>
        <w:pStyle w:val="976"/>
      </w:pPr>
      <w:r>
        <w:t xml:space="preserve">Дата окончания действия.</w:t>
      </w:r>
      <w:r/>
    </w:p>
    <w:p>
      <w:pPr>
        <w:pStyle w:val="964"/>
      </w:pPr>
      <w:r/>
      <w:bookmarkStart w:id="822" w:name="_Toc15564736"/>
      <w:r>
        <w:t xml:space="preserve">Справочник «ГРБС, </w:t>
      </w:r>
      <w:r>
        <w:rPr>
          <w:rStyle w:val="1220"/>
        </w:rPr>
        <w:t xml:space="preserve">необслуживающиеся</w:t>
      </w:r>
      <w:r>
        <w:t xml:space="preserve"> в ЭБ</w:t>
      </w:r>
      <w:bookmarkEnd w:id="822"/>
      <w:r>
        <w:t xml:space="preserve">»</w:t>
      </w:r>
      <w:r/>
    </w:p>
    <w:p>
      <w:pPr>
        <w:pStyle w:val="1147"/>
        <w:numPr>
          <w:ilvl w:val="0"/>
          <w:numId w:val="37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«ГРБС, </w:t>
      </w:r>
      <w:r>
        <w:rPr>
          <w:rStyle w:val="1220"/>
        </w:rPr>
        <w:t xml:space="preserve">необслуживающиеся</w:t>
      </w:r>
      <w:r>
        <w:t xml:space="preserve"> в ЭБ» (</w:t>
      </w:r>
      <w:r>
        <w:t xml:space="preserve">рис. </w:t>
      </w:r>
      <w:r>
        <w:fldChar w:fldCharType="begin"/>
      </w:r>
      <w:r>
        <w:instrText xml:space="preserve"> REF _Ref15044205 \h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62675" cy="3592830"/>
                <wp:effectExtent l="0" t="0" r="0" b="0"/>
                <wp:docPr id="45" name="Рисунок 5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7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6162675" cy="3592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mso-wrap-distance-left:0.0pt;mso-wrap-distance-top:0.0pt;mso-wrap-distance-right:0.0pt;mso-wrap-distance-bottom:0.0pt;width:485.2pt;height:282.9pt;" stroked="false">
                <v:path textboxrect="0,0,0,0"/>
                <v:imagedata r:id="rId6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23" w:name="_Ref15044205"/>
      <w:r/>
      <w:bookmarkStart w:id="824" w:name="_Toc15564966"/>
      <w:r/>
      <w:bookmarkStart w:id="825" w:name="_Toc20229561"/>
      <w:r/>
      <w:bookmarkStart w:id="826" w:name="_Toc59804471"/>
      <w:r>
        <w:t xml:space="preserve">16</w:t>
      </w:r>
      <w:bookmarkEnd w:id="823"/>
      <w:r>
        <w:fldChar w:fldCharType="end"/>
      </w:r>
      <w:r>
        <w:t xml:space="preserve">. ГРБС, </w:t>
      </w:r>
      <w:r>
        <w:rPr>
          <w:rStyle w:val="1220"/>
        </w:rPr>
        <w:t xml:space="preserve">необслуживающиеся</w:t>
      </w:r>
      <w:r>
        <w:t xml:space="preserve"> в ЭБ</w:t>
      </w:r>
      <w:bookmarkEnd w:id="824"/>
      <w:r/>
      <w:bookmarkEnd w:id="825"/>
      <w:r/>
      <w:bookmarkEnd w:id="82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Полное наименование ГРБС;</w:t>
      </w:r>
      <w:r/>
    </w:p>
    <w:p>
      <w:pPr>
        <w:pStyle w:val="976"/>
      </w:pPr>
      <w:r>
        <w:t xml:space="preserve">Код ГРБС по Сводному реестру;</w:t>
      </w:r>
      <w:r/>
    </w:p>
    <w:p>
      <w:pPr>
        <w:pStyle w:val="976"/>
      </w:pPr>
      <w:r>
        <w:t xml:space="preserve">Номер Л/С;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Статус документа.</w:t>
      </w:r>
      <w:r/>
    </w:p>
    <w:p>
      <w:pPr>
        <w:pStyle w:val="964"/>
      </w:pPr>
      <w:r/>
      <w:bookmarkStart w:id="827" w:name="_Toc15564737"/>
      <w:r>
        <w:t xml:space="preserve">Справочник «Виды НПА (Законодательные и иные правовые акты, определяющие расходные обязательства РФ)</w:t>
      </w:r>
      <w:bookmarkEnd w:id="827"/>
      <w:r>
        <w:t xml:space="preserve">»</w:t>
      </w:r>
      <w:r/>
    </w:p>
    <w:p>
      <w:pPr>
        <w:pStyle w:val="1147"/>
        <w:numPr>
          <w:ilvl w:val="0"/>
          <w:numId w:val="38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«Виды НПА (Законодательные и иные правовые акты, определяющие расходные обязательства РФ)» (</w:t>
      </w:r>
      <w:r>
        <w:t xml:space="preserve">рис. </w:t>
      </w:r>
      <w:r>
        <w:fldChar w:fldCharType="begin"/>
      </w:r>
      <w:r>
        <w:instrText xml:space="preserve"> REF _Ref15044216 \h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1939290"/>
                <wp:effectExtent l="0" t="0" r="0" b="0"/>
                <wp:docPr id="46" name="Рисунок 5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8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6143625" cy="1939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mso-wrap-distance-left:0.0pt;mso-wrap-distance-top:0.0pt;mso-wrap-distance-right:0.0pt;mso-wrap-distance-bottom:0.0pt;width:483.8pt;height:152.7pt;" stroked="false">
                <v:path textboxrect="0,0,0,0"/>
                <v:imagedata r:id="rId6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28" w:name="_Ref15044216"/>
      <w:r/>
      <w:bookmarkStart w:id="829" w:name="_Toc15564967"/>
      <w:r/>
      <w:bookmarkStart w:id="830" w:name="_Toc20229562"/>
      <w:r/>
      <w:bookmarkStart w:id="831" w:name="_Toc59804472"/>
      <w:r>
        <w:t xml:space="preserve">17</w:t>
      </w:r>
      <w:bookmarkEnd w:id="828"/>
      <w:r>
        <w:fldChar w:fldCharType="end"/>
      </w:r>
      <w:r>
        <w:t xml:space="preserve">. Виды НПА (Законодательные и иные правовые акты, определяющие расходные обязательства РФ)</w:t>
      </w:r>
      <w:bookmarkEnd w:id="829"/>
      <w:r/>
      <w:bookmarkEnd w:id="830"/>
      <w:r/>
      <w:bookmarkEnd w:id="83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наименование.</w:t>
      </w:r>
      <w:r/>
    </w:p>
    <w:p>
      <w:pPr>
        <w:pStyle w:val="964"/>
      </w:pPr>
      <w:r/>
      <w:bookmarkStart w:id="832" w:name="_Toc15564738"/>
      <w:r>
        <w:t xml:space="preserve">Справочник «Федеральные адресные инвестиционные программы (ФАИП)</w:t>
      </w:r>
      <w:bookmarkEnd w:id="832"/>
      <w:r>
        <w:t xml:space="preserve">»</w:t>
      </w:r>
      <w:r/>
    </w:p>
    <w:p>
      <w:pPr>
        <w:pStyle w:val="1147"/>
        <w:numPr>
          <w:ilvl w:val="0"/>
          <w:numId w:val="39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«Федеральные адресные инвестиционные программы (ФАИП)» (</w:t>
      </w:r>
      <w:r>
        <w:t xml:space="preserve">рис. </w:t>
      </w:r>
      <w:r>
        <w:fldChar w:fldCharType="begin"/>
      </w:r>
      <w:r>
        <w:instrText xml:space="preserve"> REF _Ref15044228 \h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62675" cy="3288030"/>
                <wp:effectExtent l="0" t="0" r="0" b="0"/>
                <wp:docPr id="47" name="Рисунок 6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9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6162675" cy="3288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mso-wrap-distance-left:0.0pt;mso-wrap-distance-top:0.0pt;mso-wrap-distance-right:0.0pt;mso-wrap-distance-bottom:0.0pt;width:485.2pt;height:258.9pt;" stroked="false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33" w:name="_Ref15044228"/>
      <w:r/>
      <w:bookmarkStart w:id="834" w:name="_Toc15564968"/>
      <w:r/>
      <w:bookmarkStart w:id="835" w:name="_Toc20229563"/>
      <w:r/>
      <w:bookmarkStart w:id="836" w:name="_Toc59804473"/>
      <w:r>
        <w:t xml:space="preserve">18</w:t>
      </w:r>
      <w:bookmarkEnd w:id="833"/>
      <w:r>
        <w:fldChar w:fldCharType="end"/>
      </w:r>
      <w:r>
        <w:t xml:space="preserve">. Федеральные адресные инвестиционные программы (ФАИП)</w:t>
      </w:r>
      <w:bookmarkEnd w:id="834"/>
      <w:r/>
      <w:bookmarkEnd w:id="835"/>
      <w:r/>
      <w:bookmarkEnd w:id="83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Наименование вышестоящего;</w:t>
      </w:r>
      <w:r/>
    </w:p>
    <w:p>
      <w:pPr>
        <w:pStyle w:val="976"/>
      </w:pPr>
      <w:r>
        <w:t xml:space="preserve">Примечание;</w:t>
      </w:r>
      <w:r/>
    </w:p>
    <w:p>
      <w:pPr>
        <w:pStyle w:val="976"/>
      </w:pPr>
      <w:r>
        <w:t xml:space="preserve">Код ГРБС;</w:t>
      </w:r>
      <w:r/>
    </w:p>
    <w:p>
      <w:pPr>
        <w:pStyle w:val="976"/>
      </w:pPr>
      <w:r>
        <w:t xml:space="preserve">Наименование ГРБС;</w:t>
      </w:r>
      <w:r/>
    </w:p>
    <w:p>
      <w:pPr>
        <w:pStyle w:val="976"/>
      </w:pPr>
      <w:r>
        <w:t xml:space="preserve">Код заказчика по СРПБС;</w:t>
      </w:r>
      <w:r/>
    </w:p>
    <w:p>
      <w:pPr>
        <w:pStyle w:val="976"/>
      </w:pPr>
      <w:r>
        <w:t xml:space="preserve">Наименование заказчика;</w:t>
      </w:r>
      <w:r/>
    </w:p>
    <w:p>
      <w:pPr>
        <w:pStyle w:val="976"/>
      </w:pPr>
      <w:r>
        <w:t xml:space="preserve">КБК;</w:t>
      </w:r>
      <w:r/>
    </w:p>
    <w:p>
      <w:pPr>
        <w:pStyle w:val="976"/>
      </w:pPr>
      <w:r>
        <w:t xml:space="preserve">Дата начала действия;</w:t>
      </w:r>
      <w:r/>
    </w:p>
    <w:p>
      <w:pPr>
        <w:pStyle w:val="976"/>
      </w:pPr>
      <w:r>
        <w:t xml:space="preserve">Дата окончания действия.</w:t>
      </w:r>
      <w:r/>
    </w:p>
    <w:p>
      <w:pPr>
        <w:pStyle w:val="964"/>
      </w:pPr>
      <w:r/>
      <w:bookmarkStart w:id="837" w:name="_Toc15564739"/>
      <w:r>
        <w:t xml:space="preserve">Справочник «Коды глав (ведомств)</w:t>
      </w:r>
      <w:bookmarkEnd w:id="837"/>
      <w:r>
        <w:t xml:space="preserve">»</w:t>
      </w:r>
      <w:r/>
    </w:p>
    <w:p>
      <w:pPr>
        <w:pStyle w:val="1147"/>
        <w:numPr>
          <w:ilvl w:val="0"/>
          <w:numId w:val="40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«Коды глав (ведомств)» (</w:t>
      </w:r>
      <w:r>
        <w:t xml:space="preserve">рис. </w:t>
      </w:r>
      <w:r>
        <w:fldChar w:fldCharType="begin"/>
      </w:r>
      <w:r>
        <w:instrText xml:space="preserve"> REF _Ref15044238 \h </w:instrText>
      </w:r>
      <w:r>
        <w:fldChar w:fldCharType="separate"/>
      </w:r>
      <w:r>
        <w:t xml:space="preserve">19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3030855"/>
                <wp:effectExtent l="0" t="0" r="0" b="0"/>
                <wp:docPr id="48" name="Рисунок 6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10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6143625" cy="3030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mso-wrap-distance-left:0.0pt;mso-wrap-distance-top:0.0pt;mso-wrap-distance-right:0.0pt;mso-wrap-distance-bottom:0.0pt;width:483.8pt;height:238.6pt;" stroked="false">
                <v:path textboxrect="0,0,0,0"/>
                <v:imagedata r:id="rId66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38" w:name="_Ref15044238"/>
      <w:r/>
      <w:bookmarkStart w:id="839" w:name="_Toc15564969"/>
      <w:r/>
      <w:bookmarkStart w:id="840" w:name="_Toc20229564"/>
      <w:r/>
      <w:bookmarkStart w:id="841" w:name="_Toc59804474"/>
      <w:r>
        <w:t xml:space="preserve">19</w:t>
      </w:r>
      <w:bookmarkEnd w:id="838"/>
      <w:r>
        <w:fldChar w:fldCharType="end"/>
      </w:r>
      <w:r>
        <w:t xml:space="preserve">. Коды глав (ведомств)</w:t>
      </w:r>
      <w:bookmarkEnd w:id="839"/>
      <w:r/>
      <w:bookmarkEnd w:id="840"/>
      <w:r/>
      <w:bookmarkEnd w:id="84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Бизнес статус;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842" w:name="_Toc15564740"/>
      <w:r>
        <w:t xml:space="preserve">Справочник «Коды видов расходов</w:t>
      </w:r>
      <w:bookmarkEnd w:id="842"/>
      <w:r>
        <w:t xml:space="preserve">»</w:t>
      </w:r>
      <w:r/>
    </w:p>
    <w:p>
      <w:pPr>
        <w:pStyle w:val="1147"/>
        <w:numPr>
          <w:ilvl w:val="0"/>
          <w:numId w:val="41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«Коды видов расходов» (</w:t>
      </w:r>
      <w:r>
        <w:t xml:space="preserve">рис. </w:t>
      </w:r>
      <w:r>
        <w:fldChar w:fldCharType="begin"/>
      </w:r>
      <w:r>
        <w:instrText xml:space="preserve"> REF _Ref15044250 \h </w:instrText>
      </w:r>
      <w:r>
        <w:fldChar w:fldCharType="separate"/>
      </w:r>
      <w:r>
        <w:t xml:space="preserve">20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72200" cy="2626995"/>
                <wp:effectExtent l="0" t="0" r="0" b="0"/>
                <wp:docPr id="49" name="Рисунок 6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1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6172200" cy="2626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mso-wrap-distance-left:0.0pt;mso-wrap-distance-top:0.0pt;mso-wrap-distance-right:0.0pt;mso-wrap-distance-bottom:0.0pt;width:486.0pt;height:206.8pt;" stroked="false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43" w:name="_Ref15044250"/>
      <w:r/>
      <w:bookmarkStart w:id="844" w:name="_Toc15564970"/>
      <w:r/>
      <w:bookmarkStart w:id="845" w:name="_Toc20229565"/>
      <w:r/>
      <w:bookmarkStart w:id="846" w:name="_Toc59804475"/>
      <w:r>
        <w:t xml:space="preserve">20</w:t>
      </w:r>
      <w:bookmarkEnd w:id="843"/>
      <w:r>
        <w:fldChar w:fldCharType="end"/>
      </w:r>
      <w:r>
        <w:t xml:space="preserve">. Коды видов расходов</w:t>
      </w:r>
      <w:bookmarkEnd w:id="844"/>
      <w:r/>
      <w:bookmarkEnd w:id="845"/>
      <w:r/>
      <w:bookmarkEnd w:id="84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Код вышестоящего;</w:t>
      </w:r>
      <w:r/>
    </w:p>
    <w:p>
      <w:pPr>
        <w:pStyle w:val="976"/>
      </w:pPr>
      <w:r>
        <w:t xml:space="preserve">Наименование вышестоящего;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Бизнес статус;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847" w:name="_Toc15564741"/>
      <w:r>
        <w:t xml:space="preserve">Справочник «Коды по ФКР</w:t>
      </w:r>
      <w:bookmarkEnd w:id="847"/>
      <w:r>
        <w:t xml:space="preserve">»</w:t>
      </w:r>
      <w:r/>
    </w:p>
    <w:p>
      <w:pPr>
        <w:pStyle w:val="1147"/>
        <w:numPr>
          <w:ilvl w:val="0"/>
          <w:numId w:val="42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«Коды по ФКР» (</w:t>
      </w:r>
      <w:r>
        <w:t xml:space="preserve">рис. </w:t>
      </w:r>
      <w:r>
        <w:fldChar w:fldCharType="begin"/>
      </w:r>
      <w:r>
        <w:instrText xml:space="preserve"> REF _Ref15044261 \h </w:instrText>
      </w:r>
      <w:r>
        <w:fldChar w:fldCharType="separate"/>
      </w:r>
      <w:r>
        <w:t xml:space="preserve">21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2727325"/>
                <wp:effectExtent l="0" t="0" r="0" b="0"/>
                <wp:docPr id="50" name="Рисунок 6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12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6143625" cy="272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mso-wrap-distance-left:0.0pt;mso-wrap-distance-top:0.0pt;mso-wrap-distance-right:0.0pt;mso-wrap-distance-bottom:0.0pt;width:483.8pt;height:214.8pt;" stroked="false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48" w:name="_Ref15044261"/>
      <w:r/>
      <w:bookmarkStart w:id="849" w:name="_Toc15564971"/>
      <w:r/>
      <w:bookmarkStart w:id="850" w:name="_Toc20229566"/>
      <w:r/>
      <w:bookmarkStart w:id="851" w:name="_Toc59804476"/>
      <w:r>
        <w:t xml:space="preserve">21</w:t>
      </w:r>
      <w:bookmarkEnd w:id="848"/>
      <w:r>
        <w:fldChar w:fldCharType="end"/>
      </w:r>
      <w:r>
        <w:t xml:space="preserve">. Коды по ФКР</w:t>
      </w:r>
      <w:bookmarkEnd w:id="849"/>
      <w:r/>
      <w:bookmarkEnd w:id="850"/>
      <w:r/>
      <w:bookmarkEnd w:id="85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раздела;</w:t>
      </w:r>
      <w:r/>
    </w:p>
    <w:p>
      <w:pPr>
        <w:pStyle w:val="976"/>
      </w:pPr>
      <w:r>
        <w:t xml:space="preserve">Код подраздела;</w:t>
      </w:r>
      <w:r/>
    </w:p>
    <w:p>
      <w:pPr>
        <w:pStyle w:val="976"/>
      </w:pPr>
      <w:r>
        <w:t xml:space="preserve">Совокупный 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Код вышестоящего;</w:t>
      </w:r>
      <w:r/>
    </w:p>
    <w:p>
      <w:pPr>
        <w:pStyle w:val="976"/>
      </w:pPr>
      <w:r>
        <w:t xml:space="preserve">Наименование вышестоящего;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Статус ФКР;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852" w:name="_Toc15564742"/>
      <w:r>
        <w:t xml:space="preserve">Справочник «Коды целей</w:t>
      </w:r>
      <w:bookmarkEnd w:id="852"/>
      <w:r>
        <w:t xml:space="preserve">»</w:t>
      </w:r>
      <w:r/>
    </w:p>
    <w:p>
      <w:pPr>
        <w:pStyle w:val="1147"/>
        <w:numPr>
          <w:ilvl w:val="0"/>
          <w:numId w:val="43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«Коды целей» (</w:t>
      </w:r>
      <w:r>
        <w:t xml:space="preserve">рис. </w:t>
      </w:r>
      <w:r>
        <w:fldChar w:fldCharType="begin"/>
      </w:r>
      <w:r>
        <w:instrText xml:space="preserve"> REF _Ref15044273 \h </w:instrText>
      </w:r>
      <w:r>
        <w:fldChar w:fldCharType="separate"/>
      </w:r>
      <w:r>
        <w:t xml:space="preserve">22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2920365"/>
                <wp:effectExtent l="0" t="0" r="0" b="0"/>
                <wp:docPr id="51" name="Рисунок 7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1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6115050" cy="2920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mso-wrap-distance-left:0.0pt;mso-wrap-distance-top:0.0pt;mso-wrap-distance-right:0.0pt;mso-wrap-distance-bottom:0.0pt;width:481.5pt;height:229.9pt;" stroked="false">
                <v:path textboxrect="0,0,0,0"/>
                <v:imagedata r:id="rId69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53" w:name="_Ref15044273"/>
      <w:r/>
      <w:bookmarkStart w:id="854" w:name="_Toc15564972"/>
      <w:r/>
      <w:bookmarkStart w:id="855" w:name="_Toc20229567"/>
      <w:r/>
      <w:bookmarkStart w:id="856" w:name="_Toc59804477"/>
      <w:r>
        <w:t xml:space="preserve">22</w:t>
      </w:r>
      <w:bookmarkEnd w:id="853"/>
      <w:r>
        <w:fldChar w:fldCharType="end"/>
      </w:r>
      <w:r>
        <w:t xml:space="preserve">. Коды целей</w:t>
      </w:r>
      <w:bookmarkEnd w:id="854"/>
      <w:r/>
      <w:bookmarkEnd w:id="855"/>
      <w:r/>
      <w:bookmarkEnd w:id="85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Коды цели;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Код вышестоящего;</w:t>
      </w:r>
      <w:r/>
    </w:p>
    <w:p>
      <w:pPr>
        <w:pStyle w:val="976"/>
      </w:pPr>
      <w:r>
        <w:t xml:space="preserve">Наименование вышестоящего;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Код уровня бюджета;</w:t>
      </w:r>
      <w:r/>
    </w:p>
    <w:p>
      <w:pPr>
        <w:pStyle w:val="976"/>
      </w:pPr>
      <w:r>
        <w:t xml:space="preserve">Шаблон расходов;</w:t>
      </w:r>
      <w:r/>
    </w:p>
    <w:p>
      <w:pPr>
        <w:pStyle w:val="976"/>
      </w:pPr>
      <w:r>
        <w:t xml:space="preserve">Шаблон доходов;</w:t>
      </w:r>
      <w:r/>
    </w:p>
    <w:p>
      <w:pPr>
        <w:pStyle w:val="976"/>
      </w:pPr>
      <w:r>
        <w:t xml:space="preserve">Признак отсутствия контроля от ОрФК;</w:t>
      </w:r>
      <w:r/>
    </w:p>
    <w:p>
      <w:pPr>
        <w:pStyle w:val="976"/>
      </w:pPr>
      <w:r>
        <w:t xml:space="preserve">Признак отнесения к дополнительной классификации;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Бизнес статус записи;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857" w:name="_Toc15564743"/>
      <w:r>
        <w:t xml:space="preserve">Справочник «Коды по КЦСР</w:t>
      </w:r>
      <w:bookmarkEnd w:id="857"/>
      <w:r>
        <w:t xml:space="preserve">»</w:t>
      </w:r>
      <w:r/>
    </w:p>
    <w:p>
      <w:pPr>
        <w:pStyle w:val="1147"/>
        <w:numPr>
          <w:ilvl w:val="0"/>
          <w:numId w:val="44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«Коды по КЦСР» (</w:t>
      </w:r>
      <w:r>
        <w:t xml:space="preserve">рис. </w:t>
      </w:r>
      <w:r>
        <w:fldChar w:fldCharType="begin"/>
      </w:r>
      <w:r>
        <w:instrText xml:space="preserve"> REF _Ref15045508 \h </w:instrText>
      </w:r>
      <w:r>
        <w:fldChar w:fldCharType="separate"/>
      </w:r>
      <w:r>
        <w:t xml:space="preserve">23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338195"/>
                <wp:effectExtent l="0" t="0" r="0" b="0"/>
                <wp:docPr id="52" name="Рисунок 7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14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6153149" cy="3338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mso-wrap-distance-left:0.0pt;mso-wrap-distance-top:0.0pt;mso-wrap-distance-right:0.0pt;mso-wrap-distance-bottom:0.0pt;width:484.5pt;height:262.8pt;" stroked="false">
                <v:path textboxrect="0,0,0,0"/>
                <v:imagedata r:id="rId7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58" w:name="_Ref15045508"/>
      <w:r/>
      <w:bookmarkStart w:id="859" w:name="_Toc15564973"/>
      <w:r/>
      <w:bookmarkStart w:id="860" w:name="_Toc20229568"/>
      <w:r/>
      <w:bookmarkStart w:id="861" w:name="_Toc59804478"/>
      <w:r>
        <w:t xml:space="preserve">23</w:t>
      </w:r>
      <w:bookmarkEnd w:id="858"/>
      <w:r>
        <w:fldChar w:fldCharType="end"/>
      </w:r>
      <w:r>
        <w:t xml:space="preserve">. Коды по КЦСР</w:t>
      </w:r>
      <w:bookmarkEnd w:id="859"/>
      <w:r/>
      <w:bookmarkEnd w:id="860"/>
      <w:r/>
      <w:bookmarkEnd w:id="86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программного (непрограммного) направления расходов;</w:t>
      </w:r>
      <w:r/>
    </w:p>
    <w:p>
      <w:pPr>
        <w:pStyle w:val="976"/>
      </w:pPr>
      <w:r>
        <w:t xml:space="preserve">Код подпрограммы;</w:t>
      </w:r>
      <w:r/>
    </w:p>
    <w:p>
      <w:pPr>
        <w:pStyle w:val="976"/>
      </w:pPr>
      <w:r>
        <w:t xml:space="preserve">Код направления расходов;</w:t>
      </w:r>
      <w:r/>
    </w:p>
    <w:p>
      <w:pPr>
        <w:pStyle w:val="976"/>
      </w:pPr>
      <w:r>
        <w:t xml:space="preserve">Совокупный 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Код вышестоящего;</w:t>
      </w:r>
      <w:r/>
    </w:p>
    <w:p>
      <w:pPr>
        <w:pStyle w:val="976"/>
      </w:pPr>
      <w:r>
        <w:t xml:space="preserve">Наименование вышестоящего;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Бизнес статус;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862" w:name="_Toc15564744"/>
      <w:r>
        <w:t xml:space="preserve">Справочник «Коды бюджетной классификации (КБК)</w:t>
      </w:r>
      <w:bookmarkEnd w:id="862"/>
      <w:r>
        <w:t xml:space="preserve">»</w:t>
      </w:r>
      <w:r/>
    </w:p>
    <w:p>
      <w:pPr>
        <w:pStyle w:val="1147"/>
        <w:numPr>
          <w:ilvl w:val="0"/>
          <w:numId w:val="45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«Коды бюджетной классификации (КБК)» (</w:t>
      </w:r>
      <w:r>
        <w:t xml:space="preserve">рис. </w:t>
      </w:r>
      <w:r>
        <w:fldChar w:fldCharType="begin"/>
      </w:r>
      <w:r>
        <w:instrText xml:space="preserve"> REF _Ref15045852 \h </w:instrText>
      </w:r>
      <w:r>
        <w:fldChar w:fldCharType="separate"/>
      </w:r>
      <w:r>
        <w:t xml:space="preserve">24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62675" cy="2947035"/>
                <wp:effectExtent l="0" t="0" r="0" b="0"/>
                <wp:docPr id="53" name="Рисунок 7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15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6162675" cy="2947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mso-wrap-distance-left:0.0pt;mso-wrap-distance-top:0.0pt;mso-wrap-distance-right:0.0pt;mso-wrap-distance-bottom:0.0pt;width:485.2pt;height:232.0pt;" stroked="false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63" w:name="_Ref15045852"/>
      <w:r/>
      <w:bookmarkStart w:id="864" w:name="_Toc15564974"/>
      <w:r/>
      <w:bookmarkStart w:id="865" w:name="_Toc20229569"/>
      <w:r/>
      <w:bookmarkStart w:id="866" w:name="_Toc59804479"/>
      <w:r>
        <w:t xml:space="preserve">24</w:t>
      </w:r>
      <w:bookmarkEnd w:id="863"/>
      <w:r>
        <w:fldChar w:fldCharType="end"/>
      </w:r>
      <w:r>
        <w:t xml:space="preserve">. Коды бюджетной классификации (КБК)</w:t>
      </w:r>
      <w:bookmarkEnd w:id="864"/>
      <w:r/>
      <w:bookmarkEnd w:id="865"/>
      <w:r/>
      <w:bookmarkEnd w:id="86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главы;</w:t>
      </w:r>
      <w:r/>
    </w:p>
    <w:p>
      <w:pPr>
        <w:pStyle w:val="976"/>
      </w:pPr>
      <w:r>
        <w:t xml:space="preserve">Код раздела и подраздела;</w:t>
      </w:r>
      <w:r/>
    </w:p>
    <w:p>
      <w:pPr>
        <w:pStyle w:val="976"/>
      </w:pPr>
      <w:r>
        <w:t xml:space="preserve">Код целевой статьи;</w:t>
      </w:r>
      <w:r/>
    </w:p>
    <w:p>
      <w:pPr>
        <w:pStyle w:val="976"/>
      </w:pPr>
      <w:r>
        <w:t xml:space="preserve">Код вида расходов;</w:t>
      </w:r>
      <w:r/>
    </w:p>
    <w:p>
      <w:pPr>
        <w:pStyle w:val="976"/>
      </w:pPr>
      <w:r>
        <w:t xml:space="preserve">Код КОСГУ;</w:t>
      </w:r>
      <w:r/>
    </w:p>
    <w:p>
      <w:pPr>
        <w:pStyle w:val="976"/>
      </w:pPr>
      <w:r>
        <w:t xml:space="preserve">Совокупный 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Тип КБК;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Признак лимитируемых расходов;</w:t>
      </w:r>
      <w:r/>
    </w:p>
    <w:p>
      <w:pPr>
        <w:pStyle w:val="976"/>
      </w:pPr>
      <w:r>
        <w:t xml:space="preserve">Код ТОФК (где введен);</w:t>
      </w:r>
      <w:r/>
    </w:p>
    <w:p>
      <w:pPr>
        <w:pStyle w:val="976"/>
      </w:pPr>
      <w:r>
        <w:t xml:space="preserve">Наименование ТОФК (где введен);</w:t>
      </w:r>
      <w:r/>
    </w:p>
    <w:p>
      <w:pPr>
        <w:pStyle w:val="976"/>
      </w:pPr>
      <w:r>
        <w:t xml:space="preserve">Бизнес статус записи;</w:t>
      </w:r>
      <w:r/>
    </w:p>
    <w:p>
      <w:pPr>
        <w:pStyle w:val="976"/>
      </w:pPr>
      <w:r>
        <w:t xml:space="preserve">Дата включения кода в справочник;</w:t>
      </w:r>
      <w:r/>
    </w:p>
    <w:p>
      <w:pPr>
        <w:pStyle w:val="976"/>
      </w:pPr>
      <w:r>
        <w:t xml:space="preserve">Дата исключения кода из справочника;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867" w:name="_Toc15564745"/>
      <w:r>
        <w:t xml:space="preserve">Справочник «Коды бюджетной классификации Расходы (КБК)</w:t>
      </w:r>
      <w:bookmarkEnd w:id="867"/>
      <w:r>
        <w:t xml:space="preserve">»</w:t>
      </w:r>
      <w:r/>
    </w:p>
    <w:p>
      <w:pPr>
        <w:pStyle w:val="1147"/>
        <w:numPr>
          <w:ilvl w:val="0"/>
          <w:numId w:val="46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«Коды бюджетной классификации Расходы (КБК)» (</w:t>
      </w:r>
      <w:r>
        <w:t xml:space="preserve">рис. </w:t>
      </w:r>
      <w:r>
        <w:fldChar w:fldCharType="begin"/>
      </w:r>
      <w:r>
        <w:instrText xml:space="preserve"> REF _Ref15046756 \h </w:instrText>
      </w:r>
      <w:r>
        <w:fldChar w:fldCharType="separate"/>
      </w:r>
      <w:r>
        <w:t xml:space="preserve">25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3297555"/>
                <wp:effectExtent l="0" t="0" r="0" b="0"/>
                <wp:docPr id="54" name="Рисунок 7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16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6143625" cy="3297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mso-wrap-distance-left:0.0pt;mso-wrap-distance-top:0.0pt;mso-wrap-distance-right:0.0pt;mso-wrap-distance-bottom:0.0pt;width:483.8pt;height:259.6pt;" stroked="false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68" w:name="_Ref15046756"/>
      <w:r/>
      <w:bookmarkStart w:id="869" w:name="_Toc15564975"/>
      <w:r/>
      <w:bookmarkStart w:id="870" w:name="_Toc20229570"/>
      <w:r/>
      <w:bookmarkStart w:id="871" w:name="_Toc59804480"/>
      <w:r>
        <w:t xml:space="preserve">25</w:t>
      </w:r>
      <w:bookmarkEnd w:id="868"/>
      <w:r>
        <w:fldChar w:fldCharType="end"/>
      </w:r>
      <w:r>
        <w:t xml:space="preserve">. Коды бюджетной классификации Расходы (КБК)</w:t>
      </w:r>
      <w:bookmarkEnd w:id="869"/>
      <w:r/>
      <w:bookmarkEnd w:id="870"/>
      <w:r/>
      <w:bookmarkEnd w:id="87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КБК;</w:t>
      </w:r>
      <w:r/>
    </w:p>
    <w:p>
      <w:pPr>
        <w:pStyle w:val="976"/>
      </w:pPr>
      <w:r>
        <w:t xml:space="preserve">Наименование КБК;</w:t>
      </w:r>
      <w:r/>
    </w:p>
    <w:p>
      <w:pPr>
        <w:pStyle w:val="976"/>
      </w:pPr>
      <w:r>
        <w:t xml:space="preserve">Дата открытия КБК;</w:t>
      </w:r>
      <w:r/>
    </w:p>
    <w:p>
      <w:pPr>
        <w:pStyle w:val="976"/>
      </w:pPr>
      <w:r>
        <w:t xml:space="preserve">Дата закрытия КБК;</w:t>
      </w:r>
      <w:r/>
    </w:p>
    <w:p>
      <w:pPr>
        <w:pStyle w:val="976"/>
      </w:pPr>
      <w:r>
        <w:t xml:space="preserve">Дата создания записи;</w:t>
      </w:r>
      <w:r/>
    </w:p>
    <w:p>
      <w:pPr>
        <w:pStyle w:val="976"/>
      </w:pPr>
      <w:r>
        <w:t xml:space="preserve">Дата последнего изменения;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Тип бюджета;</w:t>
      </w:r>
      <w:r/>
    </w:p>
    <w:p>
      <w:pPr>
        <w:pStyle w:val="976"/>
      </w:pPr>
      <w:r>
        <w:t xml:space="preserve">Наименование бюджета.</w:t>
      </w:r>
      <w:r/>
    </w:p>
    <w:p>
      <w:pPr>
        <w:pStyle w:val="964"/>
      </w:pPr>
      <w:r/>
      <w:bookmarkStart w:id="872" w:name="_Toc15564746"/>
      <w:r>
        <w:t xml:space="preserve">Справочник «Единый государственный реестр юридических лиц (ЕГРЮЛ)</w:t>
      </w:r>
      <w:bookmarkEnd w:id="872"/>
      <w:r>
        <w:t xml:space="preserve">»</w:t>
      </w:r>
      <w:r/>
    </w:p>
    <w:p>
      <w:pPr>
        <w:pStyle w:val="1147"/>
        <w:numPr>
          <w:ilvl w:val="0"/>
          <w:numId w:val="47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«Единый государственный реестр юридических лиц (ЕГРЮЛ)» (</w:t>
      </w:r>
      <w:r>
        <w:t xml:space="preserve">рис. </w:t>
      </w:r>
      <w:r>
        <w:fldChar w:fldCharType="begin"/>
      </w:r>
      <w:r>
        <w:instrText xml:space="preserve"> REF _Ref15047363 \h </w:instrText>
      </w:r>
      <w:r>
        <w:fldChar w:fldCharType="separate"/>
      </w:r>
      <w:r>
        <w:t xml:space="preserve">26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3323590"/>
                <wp:effectExtent l="0" t="0" r="0" b="0"/>
                <wp:docPr id="55" name="Рисунок 7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17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6143625" cy="3323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mso-wrap-distance-left:0.0pt;mso-wrap-distance-top:0.0pt;mso-wrap-distance-right:0.0pt;mso-wrap-distance-bottom:0.0pt;width:483.8pt;height:261.7pt;" stroked="false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73" w:name="_Ref15047363"/>
      <w:r/>
      <w:bookmarkStart w:id="874" w:name="_Toc15564976"/>
      <w:r/>
      <w:bookmarkStart w:id="875" w:name="_Toc20229571"/>
      <w:r/>
      <w:bookmarkStart w:id="876" w:name="_Toc59804481"/>
      <w:r>
        <w:t xml:space="preserve">26</w:t>
      </w:r>
      <w:bookmarkEnd w:id="873"/>
      <w:r>
        <w:fldChar w:fldCharType="end"/>
      </w:r>
      <w:r>
        <w:t xml:space="preserve">. Единый государственный реестр юридических лиц (ЕГРЮЛ)</w:t>
      </w:r>
      <w:bookmarkEnd w:id="874"/>
      <w:r/>
      <w:bookmarkEnd w:id="875"/>
      <w:r/>
      <w:bookmarkEnd w:id="87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ОГРН;</w:t>
      </w:r>
      <w:r/>
    </w:p>
    <w:p>
      <w:pPr>
        <w:pStyle w:val="976"/>
      </w:pPr>
      <w:r>
        <w:t xml:space="preserve">ИНН;</w:t>
      </w:r>
      <w:r/>
    </w:p>
    <w:p>
      <w:pPr>
        <w:pStyle w:val="976"/>
      </w:pPr>
      <w:r>
        <w:t xml:space="preserve">КПП;</w:t>
      </w:r>
      <w:r/>
    </w:p>
    <w:p>
      <w:pPr>
        <w:pStyle w:val="976"/>
      </w:pPr>
      <w:r>
        <w:t xml:space="preserve">Наименование ОПФ;</w:t>
      </w:r>
      <w:r/>
    </w:p>
    <w:p>
      <w:pPr>
        <w:pStyle w:val="976"/>
      </w:pPr>
      <w:r>
        <w:t xml:space="preserve">Дата образования;</w:t>
      </w:r>
      <w:r/>
    </w:p>
    <w:p>
      <w:pPr>
        <w:pStyle w:val="976"/>
      </w:pPr>
      <w:r>
        <w:t xml:space="preserve">Дата прекращения;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записи;</w:t>
      </w:r>
      <w:r/>
    </w:p>
    <w:p>
      <w:pPr>
        <w:pStyle w:val="976"/>
      </w:pPr>
      <w:r>
        <w:t xml:space="preserve">Дата форм сведений из ЕГРЮЛ;</w:t>
      </w:r>
      <w:r/>
    </w:p>
    <w:p>
      <w:pPr>
        <w:pStyle w:val="976"/>
      </w:pPr>
      <w:r>
        <w:t xml:space="preserve">Название загружаемого файла.</w:t>
      </w:r>
      <w:r/>
    </w:p>
    <w:p>
      <w:pPr>
        <w:pStyle w:val="964"/>
      </w:pPr>
      <w:r/>
      <w:bookmarkStart w:id="877" w:name="_Toc15564747"/>
      <w:r>
        <w:t xml:space="preserve">Справочник «Сводный реестр</w:t>
      </w:r>
      <w:bookmarkEnd w:id="877"/>
      <w:r>
        <w:t xml:space="preserve">»</w:t>
      </w:r>
      <w:r/>
    </w:p>
    <w:p>
      <w:pPr>
        <w:pStyle w:val="1147"/>
        <w:numPr>
          <w:ilvl w:val="0"/>
          <w:numId w:val="48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«Сводный реестр» (</w:t>
      </w:r>
      <w:r>
        <w:t xml:space="preserve">рис. </w:t>
      </w:r>
      <w:r>
        <w:fldChar w:fldCharType="begin"/>
      </w:r>
      <w:r>
        <w:instrText xml:space="preserve"> REF _Ref15047364 \h </w:instrText>
      </w:r>
      <w:r>
        <w:fldChar w:fldCharType="separate"/>
      </w:r>
      <w:r>
        <w:t xml:space="preserve">27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000" cy="2970770"/>
                <wp:effectExtent l="0" t="0" r="0" b="0"/>
                <wp:docPr id="56" name="Рисунок 7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18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6120000" cy="2970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mso-wrap-distance-left:0.0pt;mso-wrap-distance-top:0.0pt;mso-wrap-distance-right:0.0pt;mso-wrap-distance-bottom:0.0pt;width:481.9pt;height:233.9pt;" stroked="false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78" w:name="_Ref15047364"/>
      <w:r/>
      <w:bookmarkStart w:id="879" w:name="_Toc15564977"/>
      <w:r/>
      <w:bookmarkStart w:id="880" w:name="_Toc20229572"/>
      <w:r/>
      <w:bookmarkStart w:id="881" w:name="_Toc59804482"/>
      <w:r>
        <w:t xml:space="preserve">27</w:t>
      </w:r>
      <w:bookmarkEnd w:id="878"/>
      <w:r>
        <w:fldChar w:fldCharType="end"/>
      </w:r>
      <w:r>
        <w:t xml:space="preserve">. Сводный реестр</w:t>
      </w:r>
      <w:bookmarkEnd w:id="879"/>
      <w:r/>
      <w:bookmarkEnd w:id="880"/>
      <w:r/>
      <w:bookmarkEnd w:id="88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Временная Метка Распространения;</w:t>
      </w:r>
      <w:r/>
    </w:p>
    <w:p>
      <w:pPr>
        <w:pStyle w:val="976"/>
      </w:pPr>
      <w:r>
        <w:t xml:space="preserve">ППО, создавшее организацию;</w:t>
      </w:r>
      <w:r/>
    </w:p>
    <w:p>
      <w:pPr>
        <w:pStyle w:val="976"/>
      </w:pPr>
      <w:r>
        <w:t xml:space="preserve">Код ППО учредителя;</w:t>
      </w:r>
      <w:r/>
    </w:p>
    <w:p>
      <w:pPr>
        <w:pStyle w:val="976"/>
      </w:pPr>
      <w:r>
        <w:t xml:space="preserve">Код Главы по БК;</w:t>
      </w:r>
      <w:r/>
    </w:p>
    <w:p>
      <w:pPr>
        <w:pStyle w:val="976"/>
      </w:pPr>
      <w:r>
        <w:t xml:space="preserve">Код организации;</w:t>
      </w:r>
      <w:r/>
    </w:p>
    <w:p>
      <w:pPr>
        <w:pStyle w:val="976"/>
      </w:pPr>
      <w:r>
        <w:t xml:space="preserve">Номер организации;</w:t>
      </w:r>
      <w:r/>
    </w:p>
    <w:p>
      <w:pPr>
        <w:pStyle w:val="976"/>
      </w:pPr>
      <w:r>
        <w:t xml:space="preserve">Сокращенное наименование организации;</w:t>
      </w:r>
      <w:r/>
    </w:p>
    <w:p>
      <w:pPr>
        <w:pStyle w:val="976"/>
      </w:pPr>
      <w:r>
        <w:t xml:space="preserve">Полное наименование организации;</w:t>
      </w:r>
      <w:r/>
    </w:p>
    <w:p>
      <w:pPr>
        <w:pStyle w:val="976"/>
      </w:pPr>
      <w:r>
        <w:t xml:space="preserve">ОГРН;</w:t>
      </w:r>
      <w:r/>
    </w:p>
    <w:p>
      <w:pPr>
        <w:pStyle w:val="976"/>
      </w:pPr>
      <w:r>
        <w:t xml:space="preserve">ИНН;</w:t>
      </w:r>
      <w:r/>
    </w:p>
    <w:p>
      <w:pPr>
        <w:pStyle w:val="976"/>
      </w:pPr>
      <w:r>
        <w:t xml:space="preserve">КПП;</w:t>
      </w:r>
      <w:r/>
    </w:p>
    <w:p>
      <w:pPr>
        <w:pStyle w:val="976"/>
      </w:pPr>
      <w:r>
        <w:t xml:space="preserve">Тип организации;</w:t>
      </w:r>
      <w:r/>
    </w:p>
    <w:p>
      <w:pPr>
        <w:pStyle w:val="976"/>
      </w:pPr>
      <w:r>
        <w:t xml:space="preserve">Тип учреждения;</w:t>
      </w:r>
      <w:r/>
    </w:p>
    <w:p>
      <w:pPr>
        <w:pStyle w:val="976"/>
      </w:pPr>
      <w:r>
        <w:t xml:space="preserve">Уполномоченная организация;</w:t>
      </w:r>
      <w:r/>
    </w:p>
    <w:p>
      <w:pPr>
        <w:pStyle w:val="976"/>
      </w:pPr>
      <w:r>
        <w:t xml:space="preserve">Наименование уполномоченной организации;</w:t>
      </w:r>
      <w:r/>
    </w:p>
    <w:p>
      <w:pPr>
        <w:pStyle w:val="976"/>
      </w:pPr>
      <w:r>
        <w:t xml:space="preserve">Бюджет;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Уровень бюджета;</w:t>
      </w:r>
      <w:r/>
    </w:p>
    <w:p>
      <w:pPr>
        <w:pStyle w:val="976"/>
      </w:pPr>
      <w:r>
        <w:t xml:space="preserve">Наименование уровня бюджета;</w:t>
      </w:r>
      <w:r/>
    </w:p>
    <w:p>
      <w:pPr>
        <w:pStyle w:val="976"/>
      </w:pPr>
      <w:r>
        <w:t xml:space="preserve">Статус организации;</w:t>
      </w:r>
      <w:r/>
    </w:p>
    <w:p>
      <w:pPr>
        <w:pStyle w:val="976"/>
      </w:pPr>
      <w:r>
        <w:t xml:space="preserve">Дата включения организации;</w:t>
      </w:r>
      <w:r/>
    </w:p>
    <w:p>
      <w:pPr>
        <w:pStyle w:val="976"/>
      </w:pPr>
      <w:r>
        <w:t xml:space="preserve">Дата изменения сведений;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Дата прекращения деятельности;</w:t>
      </w:r>
      <w:r/>
    </w:p>
    <w:p>
      <w:pPr>
        <w:pStyle w:val="976"/>
      </w:pPr>
      <w:r>
        <w:t xml:space="preserve">Уникальный номер реестровой записи;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Заявка на включение организации;</w:t>
      </w:r>
      <w:r/>
    </w:p>
    <w:p>
      <w:pPr>
        <w:pStyle w:val="976"/>
      </w:pPr>
      <w:r>
        <w:t xml:space="preserve">Заявка на изменение сведений;</w:t>
      </w:r>
      <w:r/>
    </w:p>
    <w:p>
      <w:pPr>
        <w:pStyle w:val="976"/>
      </w:pPr>
      <w:r>
        <w:t xml:space="preserve">Заявка на включение организации (</w:t>
      </w:r>
      <w:r>
        <w:rPr>
          <w:lang w:val="en-US"/>
        </w:rPr>
        <w:t xml:space="preserve">GUID</w:t>
      </w:r>
      <w:r>
        <w:t xml:space="preserve">);</w:t>
      </w:r>
      <w:r/>
    </w:p>
    <w:p>
      <w:pPr>
        <w:pStyle w:val="976"/>
      </w:pPr>
      <w:r>
        <w:t xml:space="preserve">Заявка на изменение сведений (</w:t>
      </w:r>
      <w:r>
        <w:rPr>
          <w:lang w:val="en-US"/>
        </w:rPr>
        <w:t xml:space="preserve">GUID</w:t>
      </w:r>
      <w:r>
        <w:t xml:space="preserve">);</w:t>
      </w:r>
      <w:r/>
    </w:p>
    <w:p>
      <w:pPr>
        <w:pStyle w:val="976"/>
      </w:pPr>
      <w:r>
        <w:t xml:space="preserve">Код ОрФК обслуживания;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Организация находится в процессе реорганизации. Мероприятие 2;</w:t>
      </w:r>
      <w:r/>
    </w:p>
    <w:p>
      <w:pPr>
        <w:pStyle w:val="976"/>
      </w:pPr>
      <w:r>
        <w:t xml:space="preserve">Организация находится в процессе реорганизации. Мероприятие 3;</w:t>
      </w:r>
      <w:r/>
    </w:p>
    <w:p>
      <w:pPr>
        <w:pStyle w:val="976"/>
      </w:pPr>
      <w:r>
        <w:t xml:space="preserve">Организация находится в процессе реорганизации. Мероприятие 4;</w:t>
      </w:r>
      <w:r/>
    </w:p>
    <w:p>
      <w:pPr>
        <w:pStyle w:val="976"/>
      </w:pPr>
      <w:r>
        <w:t xml:space="preserve">Не подлежит размещению Интернет;</w:t>
      </w:r>
      <w:r/>
    </w:p>
    <w:p>
      <w:pPr>
        <w:pStyle w:val="976"/>
      </w:pPr>
      <w:r>
        <w:t xml:space="preserve">Опубликовано на ЕПБС;</w:t>
      </w:r>
      <w:r/>
    </w:p>
    <w:p>
      <w:pPr>
        <w:pStyle w:val="976"/>
      </w:pPr>
      <w:r>
        <w:t xml:space="preserve">Опубликовано на ОС ГМУ.</w:t>
      </w:r>
      <w:r/>
    </w:p>
    <w:p>
      <w:pPr>
        <w:pStyle w:val="987"/>
      </w:pPr>
      <w:r>
        <w:rPr>
          <w:rStyle w:val="992"/>
        </w:rPr>
        <w:t xml:space="preserve">Примечание.</w:t>
      </w:r>
      <w:r>
        <w:tab/>
        <w:t xml:space="preserve">При формировании СДО ор</w:t>
      </w:r>
      <w:r>
        <w:t xml:space="preserve">ганизацией, передавшей полномочия ПБС важно, чтобы в справочнике для данной организации были указаны счета по л/с с кодом 14. В противном случае система выдаст предупреждение «У организации &lt;код по СвР&gt; отсутствуют лицевые счета по переданным полномочиям».</w:t>
      </w:r>
      <w:r/>
    </w:p>
    <w:p>
      <w:pPr>
        <w:pStyle w:val="988"/>
      </w:pPr>
      <w:r>
        <w:t xml:space="preserve">Работа с записями данного справочника ведется в Подсистеме НСИ ЭБ и описана в документе «</w:t>
      </w:r>
      <w:r>
        <w:rPr>
          <w:rFonts w:eastAsia="Calibri"/>
        </w:rPr>
        <w:t xml:space="preserve">Руководство работников (представителей) участников системы «Электронный бюджет» по работе с подсистемой (компонентом, модулем)</w:t>
      </w:r>
      <w:r>
        <w:t xml:space="preserve">. Модуль формирования и ведения реестра участников бюджетного процесса, а также юридических лиц, не являющихся участниками бюджетного процесса Подсистемы ведения нормативной и справочной информации» (код документа: 54819512.20.19,02.ИЗ.001-3.4 1(8))</w:t>
      </w:r>
      <w:r/>
    </w:p>
    <w:p>
      <w:pPr>
        <w:pStyle w:val="964"/>
      </w:pPr>
      <w:r/>
      <w:bookmarkStart w:id="882" w:name="_Toc15564748"/>
      <w:r>
        <w:t xml:space="preserve">Справочник «Лицевые счета</w:t>
      </w:r>
      <w:bookmarkEnd w:id="882"/>
      <w:r>
        <w:t xml:space="preserve">»</w:t>
      </w:r>
      <w:r/>
    </w:p>
    <w:p>
      <w:pPr>
        <w:pStyle w:val="1147"/>
        <w:numPr>
          <w:ilvl w:val="0"/>
          <w:numId w:val="49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«Лицевые счета» (</w:t>
      </w:r>
      <w:r>
        <w:t xml:space="preserve">рис. </w:t>
      </w:r>
      <w:r>
        <w:fldChar w:fldCharType="begin"/>
      </w:r>
      <w:r>
        <w:instrText xml:space="preserve"> REF _Ref15047365 \h </w:instrText>
      </w:r>
      <w:r>
        <w:fldChar w:fldCharType="separate"/>
      </w:r>
      <w:r>
        <w:t xml:space="preserve">28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000" cy="3177514"/>
                <wp:effectExtent l="0" t="0" r="0" b="0"/>
                <wp:docPr id="57" name="Рисунок 3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25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6120000" cy="3177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mso-wrap-distance-left:0.0pt;mso-wrap-distance-top:0.0pt;mso-wrap-distance-right:0.0pt;mso-wrap-distance-bottom:0.0pt;width:481.9pt;height:250.2pt;" stroked="false">
                <v:path textboxrect="0,0,0,0"/>
                <v:imagedata r:id="rId75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83" w:name="_Ref15047365"/>
      <w:r/>
      <w:bookmarkStart w:id="884" w:name="_Toc15564978"/>
      <w:r/>
      <w:bookmarkStart w:id="885" w:name="_Toc20229573"/>
      <w:r/>
      <w:bookmarkStart w:id="886" w:name="_Toc59804483"/>
      <w:r>
        <w:t xml:space="preserve">28</w:t>
      </w:r>
      <w:bookmarkEnd w:id="883"/>
      <w:r>
        <w:fldChar w:fldCharType="end"/>
      </w:r>
      <w:r>
        <w:t xml:space="preserve">. Лицевые счета</w:t>
      </w:r>
      <w:bookmarkEnd w:id="884"/>
      <w:r/>
      <w:bookmarkEnd w:id="885"/>
      <w:r/>
      <w:bookmarkEnd w:id="88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/>
      <w:bookmarkStart w:id="887" w:name="_Toc15564749"/>
      <w:r>
        <w:t xml:space="preserve">Тип лицевого счета;</w:t>
      </w:r>
      <w:r/>
    </w:p>
    <w:p>
      <w:pPr>
        <w:pStyle w:val="976"/>
      </w:pPr>
      <w:r>
        <w:t xml:space="preserve">Регион ТОФК открытия;</w:t>
      </w:r>
      <w:r/>
    </w:p>
    <w:p>
      <w:pPr>
        <w:pStyle w:val="976"/>
      </w:pPr>
      <w:r>
        <w:t xml:space="preserve">Тип бюджета;</w:t>
      </w:r>
      <w:r/>
    </w:p>
    <w:p>
      <w:pPr>
        <w:pStyle w:val="976"/>
      </w:pPr>
      <w:r>
        <w:t xml:space="preserve">Учетный номер;</w:t>
      </w:r>
      <w:r/>
    </w:p>
    <w:p>
      <w:pPr>
        <w:pStyle w:val="976"/>
      </w:pPr>
      <w:r>
        <w:t xml:space="preserve">Контрольный разряд;</w:t>
      </w:r>
      <w:r/>
    </w:p>
    <w:p>
      <w:pPr>
        <w:pStyle w:val="976"/>
      </w:pPr>
      <w:r>
        <w:t xml:space="preserve">Номер лицевого счета;</w:t>
      </w:r>
      <w:r/>
    </w:p>
    <w:p>
      <w:pPr>
        <w:pStyle w:val="976"/>
      </w:pPr>
      <w:r>
        <w:t xml:space="preserve">Код клиента;</w:t>
      </w:r>
      <w:r/>
    </w:p>
    <w:p>
      <w:pPr>
        <w:pStyle w:val="976"/>
      </w:pPr>
      <w:r>
        <w:t xml:space="preserve">Код организации по Сводному реестру;</w:t>
      </w:r>
      <w:r/>
    </w:p>
    <w:p>
      <w:pPr>
        <w:pStyle w:val="976"/>
      </w:pPr>
      <w:r>
        <w:t xml:space="preserve">Краткое наименование владельца ЛС;</w:t>
      </w:r>
      <w:r/>
    </w:p>
    <w:p>
      <w:pPr>
        <w:pStyle w:val="976"/>
      </w:pPr>
      <w:r>
        <w:t xml:space="preserve">Полное наименование владельца ЛС;</w:t>
      </w:r>
      <w:r/>
    </w:p>
    <w:p>
      <w:pPr>
        <w:pStyle w:val="976"/>
      </w:pPr>
      <w:r>
        <w:t xml:space="preserve">Код по Сводному реестру ПБС принимающего полномочия;</w:t>
      </w:r>
      <w:r/>
    </w:p>
    <w:p>
      <w:pPr>
        <w:pStyle w:val="976"/>
      </w:pPr>
      <w:r>
        <w:t xml:space="preserve">Наименование ПБС принимающего полномочия;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Код Главы по БК;</w:t>
      </w:r>
      <w:r/>
    </w:p>
    <w:p>
      <w:pPr>
        <w:pStyle w:val="976"/>
      </w:pPr>
      <w:r>
        <w:t xml:space="preserve">Сокращенное наименование главы по БК;</w:t>
      </w:r>
      <w:r/>
    </w:p>
    <w:p>
      <w:pPr>
        <w:pStyle w:val="976"/>
      </w:pPr>
      <w:r>
        <w:t xml:space="preserve">Признак контура;</w:t>
      </w:r>
      <w:r/>
    </w:p>
    <w:p>
      <w:pPr>
        <w:pStyle w:val="976"/>
      </w:pPr>
      <w:r>
        <w:t xml:space="preserve">Контур в кот ведутся операции по ЛС;</w:t>
      </w:r>
      <w:r/>
    </w:p>
    <w:p>
      <w:pPr>
        <w:pStyle w:val="976"/>
      </w:pPr>
      <w:r>
        <w:t xml:space="preserve">Код органа ФК где открыт ЛС;</w:t>
      </w:r>
      <w:r/>
    </w:p>
    <w:p>
      <w:pPr>
        <w:pStyle w:val="976"/>
      </w:pPr>
      <w:r>
        <w:t xml:space="preserve">Сокращенное наименование органа ФК где открыт ЛС;</w:t>
      </w:r>
      <w:r/>
    </w:p>
    <w:p>
      <w:pPr>
        <w:pStyle w:val="976"/>
      </w:pPr>
      <w:r>
        <w:t xml:space="preserve">Код органа ФК где обслуживается ЛС;</w:t>
      </w:r>
      <w:r/>
    </w:p>
    <w:p>
      <w:pPr>
        <w:pStyle w:val="976"/>
      </w:pPr>
      <w:r>
        <w:t xml:space="preserve">Сокращенное наименование органа ФК где обслуживается ЛС;</w:t>
      </w:r>
      <w:r/>
    </w:p>
    <w:p>
      <w:pPr>
        <w:pStyle w:val="976"/>
      </w:pPr>
      <w:r>
        <w:t xml:space="preserve">Код органа ФК где создана запись;</w:t>
      </w:r>
      <w:r/>
    </w:p>
    <w:p>
      <w:pPr>
        <w:pStyle w:val="976"/>
      </w:pPr>
      <w:r>
        <w:t xml:space="preserve">Сокращенное наименование органа ФК где создана запись;</w:t>
      </w:r>
      <w:r/>
    </w:p>
    <w:p>
      <w:pPr>
        <w:pStyle w:val="976"/>
      </w:pPr>
      <w:r>
        <w:t xml:space="preserve">Код ППО по ОКТМО;</w:t>
      </w:r>
      <w:r/>
    </w:p>
    <w:p>
      <w:pPr>
        <w:pStyle w:val="976"/>
      </w:pPr>
      <w:r>
        <w:t xml:space="preserve">Наименование ППО по ОКТМО;</w:t>
      </w:r>
      <w:r/>
    </w:p>
    <w:p>
      <w:pPr>
        <w:pStyle w:val="976"/>
      </w:pPr>
      <w:r>
        <w:t xml:space="preserve">Бизнес статус записи;</w:t>
      </w:r>
      <w:r/>
    </w:p>
    <w:p>
      <w:pPr>
        <w:pStyle w:val="976"/>
      </w:pPr>
      <w:r>
        <w:t xml:space="preserve">Дата открытия;</w:t>
      </w:r>
      <w:r/>
    </w:p>
    <w:p>
      <w:pPr>
        <w:pStyle w:val="976"/>
      </w:pPr>
      <w:r>
        <w:t xml:space="preserve">Дата закрытия;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записи;</w:t>
      </w:r>
      <w:r/>
    </w:p>
    <w:p>
      <w:pPr>
        <w:pStyle w:val="976"/>
      </w:pPr>
      <w:r>
        <w:t xml:space="preserve">Признак ПИМ.</w:t>
      </w:r>
      <w:r/>
    </w:p>
    <w:p>
      <w:pPr>
        <w:pStyle w:val="987"/>
      </w:pPr>
      <w:r>
        <w:rPr>
          <w:rStyle w:val="992"/>
        </w:rPr>
        <w:t xml:space="preserve">Примечание.</w:t>
      </w:r>
      <w:r>
        <w:tab/>
        <w:t xml:space="preserve">При формировании СДО организацией, передавшей полномочия ПБС важно, чтобы в справочнике для данной организации (код организации по СвР) были указаны счета по л/с с кодом 14. В противном случае документ будет переведен на статус «К отмене».</w:t>
      </w:r>
      <w:r/>
    </w:p>
    <w:p>
      <w:pPr>
        <w:pStyle w:val="988"/>
      </w:pPr>
      <w:r>
        <w:t xml:space="preserve">Работа с записями данного справочника ведется в Подсистеме НСИ ЭБ и описана в документе «</w:t>
      </w:r>
      <w:r>
        <w:rPr>
          <w:rFonts w:eastAsia="Calibri"/>
        </w:rPr>
        <w:t xml:space="preserve">Руководство работников (представителей) участников системы «Электронный бюджет» по работе с подсистемой (компонентом, модулем)</w:t>
      </w:r>
      <w:r>
        <w:t xml:space="preserve">. Модуль ведения лицевых счетов» (код документа: 54819512.20.19,00.ИЗ.001-1.3 1(8)).</w:t>
      </w:r>
      <w:r/>
    </w:p>
    <w:p>
      <w:pPr>
        <w:pStyle w:val="964"/>
      </w:pPr>
      <w:r>
        <w:t xml:space="preserve">Справочник «ТОФК</w:t>
      </w:r>
      <w:bookmarkEnd w:id="887"/>
      <w:r>
        <w:t xml:space="preserve">»</w:t>
      </w:r>
      <w:r/>
    </w:p>
    <w:p>
      <w:pPr>
        <w:pStyle w:val="1147"/>
        <w:numPr>
          <w:ilvl w:val="0"/>
          <w:numId w:val="50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«ТОФК» (</w:t>
      </w:r>
      <w:r>
        <w:t xml:space="preserve">рис. </w:t>
      </w:r>
      <w:r>
        <w:fldChar w:fldCharType="begin"/>
      </w:r>
      <w:r>
        <w:instrText xml:space="preserve"> REF _Ref15047366 \h </w:instrText>
      </w:r>
      <w:r>
        <w:fldChar w:fldCharType="separate"/>
      </w:r>
      <w:r>
        <w:t xml:space="preserve">29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000" cy="3122613"/>
                <wp:effectExtent l="0" t="0" r="0" b="0"/>
                <wp:docPr id="58" name="Рисунок 7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20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6120000" cy="31226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mso-wrap-distance-left:0.0pt;mso-wrap-distance-top:0.0pt;mso-wrap-distance-right:0.0pt;mso-wrap-distance-bottom:0.0pt;width:481.9pt;height:245.9pt;" stroked="false">
                <v:path textboxrect="0,0,0,0"/>
                <v:imagedata r:id="rId76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88" w:name="_Ref15047366"/>
      <w:r/>
      <w:bookmarkStart w:id="889" w:name="_Toc15564979"/>
      <w:r/>
      <w:bookmarkStart w:id="890" w:name="_Toc20229574"/>
      <w:r/>
      <w:bookmarkStart w:id="891" w:name="_Toc59804484"/>
      <w:r>
        <w:t xml:space="preserve">29</w:t>
      </w:r>
      <w:bookmarkEnd w:id="888"/>
      <w:r>
        <w:fldChar w:fldCharType="end"/>
      </w:r>
      <w:r>
        <w:t xml:space="preserve">. ТОФК</w:t>
      </w:r>
      <w:bookmarkEnd w:id="889"/>
      <w:r/>
      <w:bookmarkEnd w:id="890"/>
      <w:r/>
      <w:bookmarkEnd w:id="89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ИНН;</w:t>
      </w:r>
      <w:r/>
    </w:p>
    <w:p>
      <w:pPr>
        <w:pStyle w:val="976"/>
      </w:pPr>
      <w:r>
        <w:t xml:space="preserve">КПП;</w:t>
      </w:r>
      <w:r/>
    </w:p>
    <w:p>
      <w:pPr>
        <w:pStyle w:val="976"/>
      </w:pPr>
      <w:r>
        <w:t xml:space="preserve">Юридический адрес;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Бизнес статус;</w:t>
      </w:r>
      <w:r/>
    </w:p>
    <w:p>
      <w:pPr>
        <w:pStyle w:val="976"/>
      </w:pPr>
      <w:r>
        <w:t xml:space="preserve">Дата создания ОрФК;</w:t>
      </w:r>
      <w:r/>
    </w:p>
    <w:p>
      <w:pPr>
        <w:pStyle w:val="976"/>
      </w:pPr>
      <w:r>
        <w:t xml:space="preserve">Дата ликвидации ОрФК;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892" w:name="_Toc15564750"/>
      <w:r>
        <w:t xml:space="preserve">Справочник «Бюджеты</w:t>
      </w:r>
      <w:bookmarkEnd w:id="892"/>
      <w:r>
        <w:t xml:space="preserve">»</w:t>
      </w:r>
      <w:r/>
    </w:p>
    <w:p>
      <w:pPr>
        <w:pStyle w:val="1147"/>
        <w:numPr>
          <w:ilvl w:val="0"/>
          <w:numId w:val="51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«Бюджеты» (</w:t>
      </w:r>
      <w:r>
        <w:t xml:space="preserve">рис. </w:t>
      </w:r>
      <w:r>
        <w:fldChar w:fldCharType="begin"/>
      </w:r>
      <w:r>
        <w:instrText xml:space="preserve"> REF _Ref15047367 \h </w:instrText>
      </w:r>
      <w:r>
        <w:fldChar w:fldCharType="separate"/>
      </w:r>
      <w:r>
        <w:t xml:space="preserve">30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000" cy="4045455"/>
                <wp:effectExtent l="0" t="0" r="0" b="0"/>
                <wp:docPr id="59" name="Рисунок 7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2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6120000" cy="4045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mso-wrap-distance-left:0.0pt;mso-wrap-distance-top:0.0pt;mso-wrap-distance-right:0.0pt;mso-wrap-distance-bottom:0.0pt;width:481.9pt;height:318.5pt;" stroked="false">
                <v:path textboxrect="0,0,0,0"/>
                <v:imagedata r:id="rId77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93" w:name="_Ref15047367"/>
      <w:r/>
      <w:bookmarkStart w:id="894" w:name="_Toc15564980"/>
      <w:r/>
      <w:bookmarkStart w:id="895" w:name="_Toc20229575"/>
      <w:r/>
      <w:bookmarkStart w:id="896" w:name="_Toc59804485"/>
      <w:r>
        <w:t xml:space="preserve">30</w:t>
      </w:r>
      <w:bookmarkEnd w:id="893"/>
      <w:r>
        <w:fldChar w:fldCharType="end"/>
      </w:r>
      <w:r>
        <w:t xml:space="preserve">. Бюджеты</w:t>
      </w:r>
      <w:bookmarkEnd w:id="894"/>
      <w:r/>
      <w:bookmarkEnd w:id="895"/>
      <w:r/>
      <w:bookmarkEnd w:id="89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Наименование.</w:t>
      </w:r>
      <w:r/>
    </w:p>
    <w:p>
      <w:pPr>
        <w:pStyle w:val="964"/>
      </w:pPr>
      <w:r/>
      <w:bookmarkStart w:id="897" w:name="_Toc15564751"/>
      <w:r>
        <w:t xml:space="preserve">Справочник «Таблица соответствия кодов ОКАТО кодам ОКТМО</w:t>
      </w:r>
      <w:bookmarkEnd w:id="897"/>
      <w:r>
        <w:t xml:space="preserve">»</w:t>
      </w:r>
      <w:r/>
    </w:p>
    <w:p>
      <w:pPr>
        <w:pStyle w:val="1147"/>
        <w:numPr>
          <w:ilvl w:val="0"/>
          <w:numId w:val="52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«Таблица соответствия кодов ОКАТО кодам ОКТМО» (</w:t>
      </w:r>
      <w:r>
        <w:t xml:space="preserve">рис. </w:t>
      </w:r>
      <w:r>
        <w:fldChar w:fldCharType="begin"/>
      </w:r>
      <w:r>
        <w:instrText xml:space="preserve"> REF _Ref15047368 \h </w:instrText>
      </w:r>
      <w:r>
        <w:fldChar w:fldCharType="separate"/>
      </w:r>
      <w:r>
        <w:t xml:space="preserve">31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000" cy="3220079"/>
                <wp:effectExtent l="0" t="0" r="0" b="0"/>
                <wp:docPr id="60" name="Рисунок 7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22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6120000" cy="32200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mso-wrap-distance-left:0.0pt;mso-wrap-distance-top:0.0pt;mso-wrap-distance-right:0.0pt;mso-wrap-distance-bottom:0.0pt;width:481.9pt;height:253.5pt;" stroked="false">
                <v:path textboxrect="0,0,0,0"/>
                <v:imagedata r:id="rId78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98" w:name="_Ref15047368"/>
      <w:r/>
      <w:bookmarkStart w:id="899" w:name="_Toc15564981"/>
      <w:r/>
      <w:bookmarkStart w:id="900" w:name="_Toc20229576"/>
      <w:r/>
      <w:bookmarkStart w:id="901" w:name="_Toc59804486"/>
      <w:r>
        <w:t xml:space="preserve">31</w:t>
      </w:r>
      <w:bookmarkEnd w:id="898"/>
      <w:r>
        <w:fldChar w:fldCharType="end"/>
      </w:r>
      <w:r>
        <w:t xml:space="preserve">. Таблица соответствия кодов ОКАТО кодам ОКТМО</w:t>
      </w:r>
      <w:bookmarkEnd w:id="899"/>
      <w:r/>
      <w:bookmarkEnd w:id="900"/>
      <w:r/>
      <w:bookmarkEnd w:id="90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записи;</w:t>
      </w:r>
      <w:r/>
    </w:p>
    <w:p>
      <w:pPr>
        <w:pStyle w:val="976"/>
      </w:pPr>
      <w:r>
        <w:t xml:space="preserve">Код ОКТМО;</w:t>
      </w:r>
      <w:r/>
    </w:p>
    <w:p>
      <w:pPr>
        <w:pStyle w:val="976"/>
      </w:pPr>
      <w:r>
        <w:t xml:space="preserve">Код ОКТМО (временный);</w:t>
      </w:r>
      <w:r/>
    </w:p>
    <w:p>
      <w:pPr>
        <w:pStyle w:val="976"/>
      </w:pPr>
      <w:r>
        <w:t xml:space="preserve">Код ОКАТО;</w:t>
      </w:r>
      <w:r/>
    </w:p>
    <w:p>
      <w:pPr>
        <w:pStyle w:val="976"/>
      </w:pPr>
      <w:r>
        <w:t xml:space="preserve">Код по ОКАТО (применяемый);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Наименование по проекту изменения ОКТМО;</w:t>
      </w:r>
      <w:r/>
    </w:p>
    <w:p>
      <w:pPr>
        <w:pStyle w:val="976"/>
      </w:pPr>
      <w:r>
        <w:t xml:space="preserve">Признак бюджетополучателя;</w:t>
      </w:r>
      <w:r/>
    </w:p>
    <w:p>
      <w:pPr>
        <w:pStyle w:val="976"/>
      </w:pPr>
      <w:r>
        <w:t xml:space="preserve">ОКТМО бюджетополучателя;</w:t>
      </w:r>
      <w:r/>
    </w:p>
    <w:p>
      <w:pPr>
        <w:pStyle w:val="976"/>
      </w:pPr>
      <w:r>
        <w:t xml:space="preserve">Наименование бюджетополучателя;</w:t>
      </w:r>
      <w:r/>
    </w:p>
    <w:p>
      <w:pPr>
        <w:pStyle w:val="976"/>
      </w:pPr>
      <w:r>
        <w:t xml:space="preserve">Код типа ППО МО;</w:t>
      </w:r>
      <w:r/>
    </w:p>
    <w:p>
      <w:pPr>
        <w:pStyle w:val="976"/>
      </w:pPr>
      <w:r>
        <w:t xml:space="preserve">Наименование типа ППО МО;</w:t>
      </w:r>
      <w:r/>
    </w:p>
    <w:p>
      <w:pPr>
        <w:pStyle w:val="976"/>
      </w:pPr>
      <w:r>
        <w:t xml:space="preserve">ОКТМО вышестоящего;</w:t>
      </w:r>
      <w:r/>
    </w:p>
    <w:p>
      <w:pPr>
        <w:pStyle w:val="976"/>
      </w:pPr>
      <w:r>
        <w:t xml:space="preserve">Наименование вышестоящего;</w:t>
      </w:r>
      <w:r/>
    </w:p>
    <w:p>
      <w:pPr>
        <w:pStyle w:val="976"/>
      </w:pPr>
      <w:r>
        <w:t xml:space="preserve">Код заявки на изменение записи;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902" w:name="_Toc15564752"/>
      <w:r>
        <w:t xml:space="preserve">Справочник «Таблица соответствия Видов Типам</w:t>
      </w:r>
      <w:bookmarkEnd w:id="902"/>
      <w:r>
        <w:t xml:space="preserve">»</w:t>
      </w:r>
      <w:r/>
    </w:p>
    <w:p>
      <w:pPr>
        <w:pStyle w:val="1147"/>
        <w:numPr>
          <w:ilvl w:val="0"/>
          <w:numId w:val="53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«Таблица соответствия Видов Типам» (</w:t>
      </w:r>
      <w:r>
        <w:t xml:space="preserve">рис. </w:t>
      </w:r>
      <w:r>
        <w:fldChar w:fldCharType="begin"/>
      </w:r>
      <w:r>
        <w:instrText xml:space="preserve"> REF _Ref15047369 \h </w:instrText>
      </w:r>
      <w:r>
        <w:fldChar w:fldCharType="separate"/>
      </w:r>
      <w:r>
        <w:t xml:space="preserve">32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4100" cy="3510280"/>
                <wp:effectExtent l="0" t="0" r="0" b="0"/>
                <wp:docPr id="61" name="Рисунок 8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6134100" cy="3510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mso-wrap-distance-left:0.0pt;mso-wrap-distance-top:0.0pt;mso-wrap-distance-right:0.0pt;mso-wrap-distance-bottom:0.0pt;width:483.0pt;height:276.4pt;" stroked="false">
                <v:path textboxrect="0,0,0,0"/>
                <v:imagedata r:id="rId79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03" w:name="_Ref15047369"/>
      <w:r/>
      <w:bookmarkStart w:id="904" w:name="_Toc15564982"/>
      <w:r/>
      <w:bookmarkStart w:id="905" w:name="_Toc20229577"/>
      <w:r/>
      <w:bookmarkStart w:id="906" w:name="_Toc59804487"/>
      <w:r>
        <w:t xml:space="preserve">32</w:t>
      </w:r>
      <w:bookmarkEnd w:id="903"/>
      <w:r>
        <w:fldChar w:fldCharType="end"/>
      </w:r>
      <w:r>
        <w:t xml:space="preserve">. Таблица соответствия Видов Типам</w:t>
      </w:r>
      <w:bookmarkEnd w:id="904"/>
      <w:r/>
      <w:bookmarkEnd w:id="905"/>
      <w:r/>
      <w:bookmarkEnd w:id="90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вида соглашения;</w:t>
      </w:r>
      <w:r/>
    </w:p>
    <w:p>
      <w:pPr>
        <w:pStyle w:val="976"/>
      </w:pPr>
      <w:r>
        <w:t xml:space="preserve">Наименование вида соглашения.</w:t>
      </w:r>
      <w:r/>
    </w:p>
    <w:p>
      <w:pPr>
        <w:pStyle w:val="964"/>
      </w:pPr>
      <w:r/>
      <w:bookmarkStart w:id="907" w:name="_Toc15564753"/>
      <w:r>
        <w:t xml:space="preserve">Справочник «Виды соглашений МФ</w:t>
      </w:r>
      <w:bookmarkEnd w:id="907"/>
      <w:r>
        <w:t xml:space="preserve">»</w:t>
      </w:r>
      <w:r/>
    </w:p>
    <w:p>
      <w:pPr>
        <w:pStyle w:val="1147"/>
        <w:numPr>
          <w:ilvl w:val="0"/>
          <w:numId w:val="54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«Виды соглашений МФ» (</w:t>
      </w:r>
      <w:r>
        <w:t xml:space="preserve">рис. </w:t>
      </w:r>
      <w:r>
        <w:fldChar w:fldCharType="begin"/>
      </w:r>
      <w:r>
        <w:instrText xml:space="preserve"> REF _Ref15047415 \h </w:instrText>
      </w:r>
      <w:r>
        <w:fldChar w:fldCharType="separate"/>
      </w:r>
      <w:r>
        <w:t xml:space="preserve">33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3726815"/>
                <wp:effectExtent l="0" t="0" r="0" b="0"/>
                <wp:docPr id="62" name="Рисунок 8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24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6124575" cy="3726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mso-wrap-distance-left:0.0pt;mso-wrap-distance-top:0.0pt;mso-wrap-distance-right:0.0pt;mso-wrap-distance-bottom:0.0pt;width:482.2pt;height:293.4pt;" stroked="false">
                <v:path textboxrect="0,0,0,0"/>
                <v:imagedata r:id="rId8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08" w:name="_Ref15047415"/>
      <w:r/>
      <w:bookmarkStart w:id="909" w:name="_Toc15564983"/>
      <w:r/>
      <w:bookmarkStart w:id="910" w:name="_Toc20229578"/>
      <w:r/>
      <w:bookmarkStart w:id="911" w:name="_Toc59804488"/>
      <w:r>
        <w:t xml:space="preserve">33</w:t>
      </w:r>
      <w:bookmarkEnd w:id="908"/>
      <w:r>
        <w:fldChar w:fldCharType="end"/>
      </w:r>
      <w:r>
        <w:t xml:space="preserve">. Виды соглашений МФ</w:t>
      </w:r>
      <w:bookmarkEnd w:id="909"/>
      <w:r/>
      <w:bookmarkEnd w:id="910"/>
      <w:r/>
      <w:bookmarkEnd w:id="91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вида соглашения;</w:t>
      </w:r>
      <w:r/>
    </w:p>
    <w:p>
      <w:pPr>
        <w:pStyle w:val="976"/>
      </w:pPr>
      <w:r>
        <w:t xml:space="preserve">Наименование вида соглашения договора нормативного правового акта;</w:t>
      </w:r>
      <w:r/>
    </w:p>
    <w:p>
      <w:pPr>
        <w:pStyle w:val="976"/>
      </w:pPr>
      <w:r>
        <w:t xml:space="preserve">Примечание;</w:t>
      </w:r>
      <w:r/>
    </w:p>
    <w:p>
      <w:pPr>
        <w:pStyle w:val="976"/>
      </w:pPr>
      <w:r>
        <w:t xml:space="preserve">Статус записи.</w:t>
      </w:r>
      <w:r/>
    </w:p>
    <w:p>
      <w:pPr>
        <w:pStyle w:val="964"/>
      </w:pPr>
      <w:r/>
      <w:bookmarkStart w:id="912" w:name="_Toc15564754"/>
      <w:r>
        <w:t xml:space="preserve">Справочник «Группировка показателей ЛС</w:t>
      </w:r>
      <w:bookmarkEnd w:id="912"/>
      <w:r>
        <w:t xml:space="preserve">»</w:t>
      </w:r>
      <w:r/>
    </w:p>
    <w:p>
      <w:pPr>
        <w:pStyle w:val="1147"/>
        <w:numPr>
          <w:ilvl w:val="0"/>
          <w:numId w:val="55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«Группировка показателей ЛС» (</w:t>
      </w:r>
      <w:r>
        <w:t xml:space="preserve">рис. </w:t>
      </w:r>
      <w:r>
        <w:fldChar w:fldCharType="begin"/>
      </w:r>
      <w:r>
        <w:instrText xml:space="preserve"> REF _Ref15392569 \h </w:instrText>
      </w:r>
      <w:r>
        <w:fldChar w:fldCharType="separate"/>
      </w:r>
      <w:r>
        <w:t xml:space="preserve">34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4100" cy="3378200"/>
                <wp:effectExtent l="0" t="0" r="0" b="0"/>
                <wp:docPr id="63" name="Рисунок 4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26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6134100" cy="3378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mso-wrap-distance-left:0.0pt;mso-wrap-distance-top:0.0pt;mso-wrap-distance-right:0.0pt;mso-wrap-distance-bottom:0.0pt;width:483.0pt;height:266.0pt;" stroked="false">
                <v:path textboxrect="0,0,0,0"/>
                <v:imagedata r:id="rId8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13" w:name="_Ref15392569"/>
      <w:r/>
      <w:bookmarkStart w:id="914" w:name="_Toc15564984"/>
      <w:r/>
      <w:bookmarkStart w:id="915" w:name="_Toc20229579"/>
      <w:r/>
      <w:bookmarkStart w:id="916" w:name="_Toc59804489"/>
      <w:r>
        <w:t xml:space="preserve">34</w:t>
      </w:r>
      <w:bookmarkEnd w:id="913"/>
      <w:r>
        <w:fldChar w:fldCharType="end"/>
      </w:r>
      <w:r>
        <w:t xml:space="preserve">. Группировка показателей ЛС</w:t>
      </w:r>
      <w:bookmarkEnd w:id="914"/>
      <w:r/>
      <w:bookmarkEnd w:id="915"/>
      <w:r/>
      <w:bookmarkEnd w:id="91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Показатель ЛС;</w:t>
      </w:r>
      <w:r/>
    </w:p>
    <w:p>
      <w:pPr>
        <w:pStyle w:val="976"/>
      </w:pPr>
      <w:r>
        <w:t xml:space="preserve">Наименование сгруппированного показателя;</w:t>
      </w:r>
      <w:r/>
    </w:p>
    <w:p>
      <w:pPr>
        <w:pStyle w:val="976"/>
      </w:pPr>
      <w:r>
        <w:t xml:space="preserve">Правила расчета;</w:t>
      </w:r>
      <w:r/>
    </w:p>
    <w:p>
      <w:pPr>
        <w:pStyle w:val="976"/>
      </w:pPr>
      <w:r>
        <w:t xml:space="preserve">Признак суммы;</w:t>
      </w:r>
      <w:r/>
    </w:p>
    <w:p>
      <w:pPr>
        <w:pStyle w:val="976"/>
      </w:pPr>
      <w:r>
        <w:t xml:space="preserve">л/с с кодом 03;</w:t>
      </w:r>
      <w:r/>
    </w:p>
    <w:p>
      <w:pPr>
        <w:pStyle w:val="976"/>
      </w:pPr>
      <w:r>
        <w:t xml:space="preserve">л/с с кодом 14;</w:t>
      </w:r>
      <w:r/>
    </w:p>
    <w:p>
      <w:pPr>
        <w:pStyle w:val="976"/>
      </w:pPr>
      <w:r>
        <w:t xml:space="preserve">л/с с кодом 41;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Статус документа;</w:t>
      </w:r>
      <w:r/>
    </w:p>
    <w:p>
      <w:pPr>
        <w:pStyle w:val="976"/>
      </w:pPr>
      <w:r>
        <w:t xml:space="preserve">Актуальность;</w:t>
      </w:r>
      <w:r/>
    </w:p>
    <w:p>
      <w:pPr>
        <w:pStyle w:val="976"/>
      </w:pPr>
      <w:r>
        <w:t xml:space="preserve">Дата и время создания;</w:t>
      </w:r>
      <w:r/>
    </w:p>
    <w:p>
      <w:pPr>
        <w:pStyle w:val="976"/>
      </w:pPr>
      <w:r>
        <w:t xml:space="preserve">Уникальный идентификатор ГУИД.</w:t>
      </w:r>
      <w:r/>
    </w:p>
    <w:p>
      <w:pPr>
        <w:pStyle w:val="964"/>
      </w:pPr>
      <w:r/>
      <w:bookmarkStart w:id="917" w:name="_Toc15564755"/>
      <w:r>
        <w:t xml:space="preserve">Справочник «КБК Виды источников 2.0</w:t>
      </w:r>
      <w:bookmarkEnd w:id="917"/>
      <w:r>
        <w:t xml:space="preserve">»</w:t>
      </w:r>
      <w:r/>
    </w:p>
    <w:p>
      <w:pPr>
        <w:pStyle w:val="1147"/>
        <w:numPr>
          <w:ilvl w:val="0"/>
          <w:numId w:val="56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«КБК Виды источников 2.0» (</w:t>
      </w:r>
      <w:r>
        <w:t xml:space="preserve">рис. </w:t>
      </w:r>
      <w:r>
        <w:fldChar w:fldCharType="begin"/>
      </w:r>
      <w:r>
        <w:instrText xml:space="preserve"> REF _Ref15392993 \h </w:instrText>
      </w:r>
      <w:r>
        <w:fldChar w:fldCharType="separate"/>
      </w:r>
      <w:r>
        <w:t xml:space="preserve">35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48375" cy="2901315"/>
                <wp:effectExtent l="0" t="0" r="0" b="0"/>
                <wp:docPr id="64" name="Рисунок 4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27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6048375" cy="290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mso-wrap-distance-left:0.0pt;mso-wrap-distance-top:0.0pt;mso-wrap-distance-right:0.0pt;mso-wrap-distance-bottom:0.0pt;width:476.2pt;height:228.4pt;" stroked="false">
                <v:path textboxrect="0,0,0,0"/>
                <v:imagedata r:id="rId8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18" w:name="_Ref15392993"/>
      <w:r/>
      <w:bookmarkStart w:id="919" w:name="_Toc15564985"/>
      <w:r/>
      <w:bookmarkStart w:id="920" w:name="_Toc20229580"/>
      <w:r/>
      <w:bookmarkStart w:id="921" w:name="_Toc59804490"/>
      <w:r>
        <w:t xml:space="preserve">35</w:t>
      </w:r>
      <w:bookmarkEnd w:id="918"/>
      <w:r>
        <w:fldChar w:fldCharType="end"/>
      </w:r>
      <w:r>
        <w:t xml:space="preserve">. КБК Виды источников 2.0</w:t>
      </w:r>
      <w:bookmarkEnd w:id="919"/>
      <w:r/>
      <w:bookmarkEnd w:id="920"/>
      <w:r/>
      <w:bookmarkEnd w:id="92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Код вышестоящего;</w:t>
      </w:r>
      <w:r/>
    </w:p>
    <w:p>
      <w:pPr>
        <w:pStyle w:val="976"/>
      </w:pPr>
      <w:r>
        <w:t xml:space="preserve">Наименование вышестоящего;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Бизнес статус;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исключения;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922" w:name="_Toc15564756"/>
      <w:r>
        <w:t xml:space="preserve">Справочник «Общероссийский классификатор территорий муниципальных образований (ОКТМО)</w:t>
      </w:r>
      <w:bookmarkEnd w:id="922"/>
      <w:r>
        <w:t xml:space="preserve">»</w:t>
      </w:r>
      <w:r/>
    </w:p>
    <w:p>
      <w:pPr>
        <w:pStyle w:val="1147"/>
        <w:numPr>
          <w:ilvl w:val="0"/>
          <w:numId w:val="57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«Общероссийский классификатор территорий муниципальных образований (ОКТМО)» (</w:t>
      </w:r>
      <w:r>
        <w:t xml:space="preserve">рис. </w:t>
      </w:r>
      <w:r>
        <w:fldChar w:fldCharType="begin"/>
      </w:r>
      <w:r>
        <w:instrText xml:space="preserve"> REF _Ref15393415 \h </w:instrText>
      </w:r>
      <w:r>
        <w:fldChar w:fldCharType="separate"/>
      </w:r>
      <w:r>
        <w:t xml:space="preserve">36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72200" cy="2800350"/>
                <wp:effectExtent l="0" t="0" r="0" b="0"/>
                <wp:docPr id="65" name="Рисунок 4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28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6172200" cy="2800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mso-wrap-distance-left:0.0pt;mso-wrap-distance-top:0.0pt;mso-wrap-distance-right:0.0pt;mso-wrap-distance-bottom:0.0pt;width:486.0pt;height:220.5pt;" stroked="false">
                <v:path textboxrect="0,0,0,0"/>
                <v:imagedata r:id="rId8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23" w:name="_Ref15393415"/>
      <w:r/>
      <w:bookmarkStart w:id="924" w:name="_Toc15564986"/>
      <w:r/>
      <w:bookmarkStart w:id="925" w:name="_Toc20229581"/>
      <w:r/>
      <w:bookmarkStart w:id="926" w:name="_Toc59804491"/>
      <w:r>
        <w:t xml:space="preserve">36</w:t>
      </w:r>
      <w:bookmarkEnd w:id="923"/>
      <w:r>
        <w:fldChar w:fldCharType="end"/>
      </w:r>
      <w:r>
        <w:t xml:space="preserve">. Общероссийский классификатор территорий муниципальных образований (ОКТМО)</w:t>
      </w:r>
      <w:bookmarkEnd w:id="924"/>
      <w:r/>
      <w:bookmarkEnd w:id="925"/>
      <w:r/>
      <w:bookmarkEnd w:id="92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региона;</w:t>
      </w:r>
      <w:r/>
    </w:p>
    <w:p>
      <w:pPr>
        <w:pStyle w:val="976"/>
      </w:pPr>
      <w:r>
        <w:t xml:space="preserve">Код района или города МО;</w:t>
      </w:r>
      <w:r/>
    </w:p>
    <w:p>
      <w:pPr>
        <w:pStyle w:val="976"/>
      </w:pPr>
      <w:r>
        <w:t xml:space="preserve">Код поселения МО;</w:t>
      </w:r>
      <w:r/>
    </w:p>
    <w:p>
      <w:pPr>
        <w:pStyle w:val="976"/>
      </w:pPr>
      <w:r>
        <w:t xml:space="preserve">Код населенного пункта;</w:t>
      </w:r>
      <w:r/>
    </w:p>
    <w:p>
      <w:pPr>
        <w:pStyle w:val="976"/>
      </w:pPr>
      <w:r>
        <w:t xml:space="preserve">Контрольное число;</w:t>
      </w:r>
      <w:r/>
    </w:p>
    <w:p>
      <w:pPr>
        <w:pStyle w:val="976"/>
      </w:pPr>
      <w:r>
        <w:t xml:space="preserve">Раздел;</w:t>
      </w:r>
      <w:r/>
    </w:p>
    <w:p>
      <w:pPr>
        <w:pStyle w:val="976"/>
      </w:pPr>
      <w:r>
        <w:t xml:space="preserve">Совокупный 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Наименование центра;</w:t>
      </w:r>
      <w:r/>
    </w:p>
    <w:p>
      <w:pPr>
        <w:pStyle w:val="976"/>
      </w:pPr>
      <w:r>
        <w:t xml:space="preserve">Номер последнего изменения;</w:t>
      </w:r>
      <w:r/>
    </w:p>
    <w:p>
      <w:pPr>
        <w:pStyle w:val="976"/>
      </w:pPr>
      <w:r>
        <w:t xml:space="preserve">Тип последнего изменения;</w:t>
      </w:r>
      <w:r/>
    </w:p>
    <w:p>
      <w:pPr>
        <w:pStyle w:val="976"/>
      </w:pPr>
      <w:r>
        <w:t xml:space="preserve">Дата введения изменения;</w:t>
      </w:r>
      <w:r/>
    </w:p>
    <w:p>
      <w:pPr>
        <w:pStyle w:val="976"/>
      </w:pPr>
      <w:r>
        <w:t xml:space="preserve">Дата принятия изменения;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927" w:name="_Toc15564757"/>
      <w:r>
        <w:t xml:space="preserve">Справочник «Общероссийский классификатор стран мира (ОКСМ)</w:t>
      </w:r>
      <w:bookmarkEnd w:id="927"/>
      <w:r>
        <w:t xml:space="preserve">»</w:t>
      </w:r>
      <w:r/>
    </w:p>
    <w:p>
      <w:pPr>
        <w:pStyle w:val="1147"/>
        <w:numPr>
          <w:ilvl w:val="0"/>
          <w:numId w:val="58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«Общероссийский классификатор стран мира (ОКСМ)» (</w:t>
      </w:r>
      <w:r>
        <w:t xml:space="preserve">рис. </w:t>
      </w:r>
      <w:r>
        <w:fldChar w:fldCharType="begin"/>
      </w:r>
      <w:r>
        <w:instrText xml:space="preserve"> REF _Ref15564449 \h </w:instrText>
      </w:r>
      <w:r>
        <w:fldChar w:fldCharType="separate"/>
      </w:r>
      <w:r>
        <w:t xml:space="preserve">37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62675" cy="1223010"/>
                <wp:effectExtent l="0" t="0" r="0" b="0"/>
                <wp:docPr id="66" name="Рисунок 4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29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6162675" cy="12230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mso-wrap-distance-left:0.0pt;mso-wrap-distance-top:0.0pt;mso-wrap-distance-right:0.0pt;mso-wrap-distance-bottom:0.0pt;width:485.2pt;height:96.3pt;" stroked="false">
                <v:path textboxrect="0,0,0,0"/>
                <v:imagedata r:id="rId8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28" w:name="_Ref15564449"/>
      <w:r/>
      <w:bookmarkStart w:id="929" w:name="_Toc15564987"/>
      <w:r/>
      <w:bookmarkStart w:id="930" w:name="_Toc20229582"/>
      <w:r/>
      <w:bookmarkStart w:id="931" w:name="_Toc59804492"/>
      <w:r>
        <w:t xml:space="preserve">37</w:t>
      </w:r>
      <w:bookmarkEnd w:id="928"/>
      <w:r>
        <w:fldChar w:fldCharType="end"/>
      </w:r>
      <w:r>
        <w:t xml:space="preserve">. Общероссийский классификатор стран мира (ОКСМ)</w:t>
      </w:r>
      <w:bookmarkEnd w:id="929"/>
      <w:r/>
      <w:bookmarkEnd w:id="930"/>
      <w:r/>
      <w:bookmarkEnd w:id="93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Краткое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Буквенный код альфа-2;</w:t>
      </w:r>
      <w:r/>
    </w:p>
    <w:p>
      <w:pPr>
        <w:pStyle w:val="976"/>
      </w:pPr>
      <w:r>
        <w:t xml:space="preserve">Буквенный код альфа-3;</w:t>
      </w:r>
      <w:r/>
    </w:p>
    <w:p>
      <w:pPr>
        <w:pStyle w:val="976"/>
      </w:pPr>
      <w:r>
        <w:t xml:space="preserve">Дата введения изменения;</w:t>
      </w:r>
      <w:r/>
    </w:p>
    <w:p>
      <w:pPr>
        <w:pStyle w:val="976"/>
      </w:pPr>
      <w:r>
        <w:t xml:space="preserve">Дата принятия изменения;</w:t>
      </w:r>
      <w:r/>
    </w:p>
    <w:p>
      <w:pPr>
        <w:pStyle w:val="976"/>
      </w:pPr>
      <w:r>
        <w:t xml:space="preserve">Тип последнего изменения;</w:t>
      </w:r>
      <w:r/>
    </w:p>
    <w:p>
      <w:pPr>
        <w:pStyle w:val="976"/>
      </w:pPr>
      <w:r>
        <w:t xml:space="preserve">Статус записи.</w:t>
      </w:r>
      <w:r/>
    </w:p>
    <w:p>
      <w:pPr>
        <w:pStyle w:val="964"/>
      </w:pPr>
      <w:r/>
      <w:bookmarkStart w:id="932" w:name="_Toc15564758"/>
      <w:r>
        <w:t xml:space="preserve">Справочник «Общероссийский классификатор единиц измерения (ОКЕИ)</w:t>
      </w:r>
      <w:bookmarkEnd w:id="932"/>
      <w:r>
        <w:t xml:space="preserve">»</w:t>
      </w:r>
      <w:r/>
    </w:p>
    <w:p>
      <w:pPr>
        <w:pStyle w:val="1147"/>
        <w:numPr>
          <w:ilvl w:val="0"/>
          <w:numId w:val="59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«Общероссийский классификатор единиц измерения (ОКЕИ)» (</w:t>
      </w:r>
      <w:r>
        <w:t xml:space="preserve">рис. </w:t>
      </w:r>
      <w:r>
        <w:fldChar w:fldCharType="begin"/>
      </w:r>
      <w:r>
        <w:instrText xml:space="preserve"> REF _Ref15393773 \h </w:instrText>
      </w:r>
      <w:r>
        <w:fldChar w:fldCharType="separate"/>
      </w:r>
      <w:r>
        <w:t xml:space="preserve">38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86475" cy="2898140"/>
                <wp:effectExtent l="0" t="0" r="0" b="0"/>
                <wp:docPr id="67" name="Рисунок 6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30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6086475" cy="2898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mso-wrap-distance-left:0.0pt;mso-wrap-distance-top:0.0pt;mso-wrap-distance-right:0.0pt;mso-wrap-distance-bottom:0.0pt;width:479.2pt;height:228.2pt;" stroked="false">
                <v:path textboxrect="0,0,0,0"/>
                <v:imagedata r:id="rId85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33" w:name="_Ref15393773"/>
      <w:r/>
      <w:bookmarkStart w:id="934" w:name="_Toc15564988"/>
      <w:r/>
      <w:bookmarkStart w:id="935" w:name="_Toc20229583"/>
      <w:r/>
      <w:bookmarkStart w:id="936" w:name="_Toc59804493"/>
      <w:r>
        <w:t xml:space="preserve">38</w:t>
      </w:r>
      <w:bookmarkEnd w:id="933"/>
      <w:r>
        <w:fldChar w:fldCharType="end"/>
      </w:r>
      <w:r>
        <w:t xml:space="preserve">. Общероссийский классификатор единиц измерения (ОКЕИ)</w:t>
      </w:r>
      <w:bookmarkEnd w:id="934"/>
      <w:r/>
      <w:bookmarkEnd w:id="935"/>
      <w:r/>
      <w:bookmarkEnd w:id="93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Раздел;</w:t>
      </w:r>
      <w:r/>
    </w:p>
    <w:p>
      <w:pPr>
        <w:pStyle w:val="976"/>
      </w:pPr>
      <w:r>
        <w:t xml:space="preserve">Группа;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Условное обозначение национальное;</w:t>
      </w:r>
      <w:r/>
    </w:p>
    <w:p>
      <w:pPr>
        <w:pStyle w:val="976"/>
      </w:pPr>
      <w:r>
        <w:t xml:space="preserve">Условное обозначение международное;</w:t>
      </w:r>
      <w:r/>
    </w:p>
    <w:p>
      <w:pPr>
        <w:pStyle w:val="976"/>
      </w:pPr>
      <w:r>
        <w:t xml:space="preserve">Буквенный код национальный;</w:t>
      </w:r>
      <w:r/>
    </w:p>
    <w:p>
      <w:pPr>
        <w:pStyle w:val="976"/>
      </w:pPr>
      <w:r>
        <w:t xml:space="preserve">Буквенный код международный;</w:t>
      </w:r>
      <w:r/>
    </w:p>
    <w:p>
      <w:pPr>
        <w:pStyle w:val="976"/>
      </w:pPr>
      <w:r>
        <w:t xml:space="preserve">Номер последнего изменения;</w:t>
      </w:r>
      <w:r/>
    </w:p>
    <w:p>
      <w:pPr>
        <w:pStyle w:val="976"/>
      </w:pPr>
      <w:r>
        <w:t xml:space="preserve">Тип последнего изменения;</w:t>
      </w:r>
      <w:r/>
    </w:p>
    <w:p>
      <w:pPr>
        <w:pStyle w:val="976"/>
      </w:pPr>
      <w:r>
        <w:t xml:space="preserve">Дата введения изменения;</w:t>
      </w:r>
      <w:r/>
    </w:p>
    <w:p>
      <w:pPr>
        <w:pStyle w:val="976"/>
      </w:pPr>
      <w:r>
        <w:t xml:space="preserve">Дата принятия изменения;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937" w:name="_Toc15564759"/>
      <w:r>
        <w:t xml:space="preserve">Справочник «Общероссийский классификатор валют (ОКВ)</w:t>
      </w:r>
      <w:bookmarkEnd w:id="937"/>
      <w:r>
        <w:t xml:space="preserve">»</w:t>
      </w:r>
      <w:r/>
    </w:p>
    <w:p>
      <w:pPr>
        <w:pStyle w:val="1147"/>
        <w:numPr>
          <w:ilvl w:val="0"/>
          <w:numId w:val="60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«Общероссийский классификатор валют (ОКВ)» (</w:t>
      </w:r>
      <w:r>
        <w:t xml:space="preserve">рис. </w:t>
      </w:r>
      <w:r>
        <w:fldChar w:fldCharType="begin"/>
      </w:r>
      <w:r>
        <w:instrText xml:space="preserve"> REF _Ref15394650 \h </w:instrText>
      </w:r>
      <w:r>
        <w:fldChar w:fldCharType="separate"/>
      </w:r>
      <w:r>
        <w:t xml:space="preserve">39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96000" cy="2753360"/>
                <wp:effectExtent l="0" t="0" r="0" b="0"/>
                <wp:docPr id="68" name="Рисунок 8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3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6096000" cy="2753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mso-wrap-distance-left:0.0pt;mso-wrap-distance-top:0.0pt;mso-wrap-distance-right:0.0pt;mso-wrap-distance-bottom:0.0pt;width:480.0pt;height:216.8pt;" stroked="false">
                <v:path textboxrect="0,0,0,0"/>
                <v:imagedata r:id="rId86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38" w:name="_Ref15394650"/>
      <w:r/>
      <w:bookmarkStart w:id="939" w:name="_Toc15564989"/>
      <w:r/>
      <w:bookmarkStart w:id="940" w:name="_Toc20229584"/>
      <w:r/>
      <w:bookmarkStart w:id="941" w:name="_Toc59804494"/>
      <w:r>
        <w:t xml:space="preserve">39</w:t>
      </w:r>
      <w:bookmarkEnd w:id="938"/>
      <w:r>
        <w:fldChar w:fldCharType="end"/>
      </w:r>
      <w:r>
        <w:t xml:space="preserve">. Общероссийский классификатор валют (ОКВ)</w:t>
      </w:r>
      <w:bookmarkEnd w:id="939"/>
      <w:r/>
      <w:bookmarkEnd w:id="940"/>
      <w:r/>
      <w:bookmarkEnd w:id="94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Цифровой код валюты;</w:t>
      </w:r>
      <w:r/>
    </w:p>
    <w:p>
      <w:pPr>
        <w:pStyle w:val="976"/>
      </w:pPr>
      <w:r>
        <w:t xml:space="preserve">Буквенный код валюты;</w:t>
      </w:r>
      <w:r/>
    </w:p>
    <w:p>
      <w:pPr>
        <w:pStyle w:val="976"/>
      </w:pPr>
      <w:r>
        <w:t xml:space="preserve">Наименование валюты;</w:t>
      </w:r>
      <w:r/>
    </w:p>
    <w:p>
      <w:pPr>
        <w:pStyle w:val="976"/>
      </w:pPr>
      <w:r>
        <w:t xml:space="preserve">Тип последнего изменения;</w:t>
      </w:r>
      <w:r/>
    </w:p>
    <w:p>
      <w:pPr>
        <w:pStyle w:val="976"/>
      </w:pPr>
      <w:r>
        <w:t xml:space="preserve">Дата принятия изменения;</w:t>
      </w:r>
      <w:r/>
    </w:p>
    <w:p>
      <w:pPr>
        <w:pStyle w:val="976"/>
      </w:pPr>
      <w:r>
        <w:t xml:space="preserve">Дата введения изменения;</w:t>
      </w:r>
      <w:r/>
    </w:p>
    <w:p>
      <w:pPr>
        <w:pStyle w:val="976"/>
      </w:pPr>
      <w:r>
        <w:t xml:space="preserve">Статус записи.</w:t>
      </w:r>
      <w:r/>
    </w:p>
    <w:p>
      <w:pPr>
        <w:pStyle w:val="964"/>
      </w:pPr>
      <w:r/>
      <w:bookmarkStart w:id="942" w:name="_Toc15564760"/>
      <w:r>
        <w:t xml:space="preserve">Справочник «Типы документов</w:t>
      </w:r>
      <w:bookmarkEnd w:id="942"/>
      <w:r>
        <w:t xml:space="preserve">»</w:t>
      </w:r>
      <w:r/>
    </w:p>
    <w:p>
      <w:pPr>
        <w:pStyle w:val="1147"/>
        <w:numPr>
          <w:ilvl w:val="0"/>
          <w:numId w:val="61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«Типы документов» (</w:t>
      </w:r>
      <w:r>
        <w:t xml:space="preserve">рис. </w:t>
      </w:r>
      <w:r>
        <w:fldChar w:fldCharType="begin"/>
      </w:r>
      <w:r>
        <w:instrText xml:space="preserve"> REF _Ref15394895 \h </w:instrText>
      </w:r>
      <w:r>
        <w:fldChar w:fldCharType="separate"/>
      </w:r>
      <w:r>
        <w:t xml:space="preserve">40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05525" cy="3804920"/>
                <wp:effectExtent l="0" t="0" r="0" b="0"/>
                <wp:docPr id="69" name="Рисунок 8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32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6105525" cy="3804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mso-wrap-distance-left:0.0pt;mso-wrap-distance-top:0.0pt;mso-wrap-distance-right:0.0pt;mso-wrap-distance-bottom:0.0pt;width:480.8pt;height:299.6pt;" stroked="false">
                <v:path textboxrect="0,0,0,0"/>
                <v:imagedata r:id="rId87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43" w:name="_Ref15394895"/>
      <w:r/>
      <w:bookmarkStart w:id="944" w:name="_Toc15564990"/>
      <w:r/>
      <w:bookmarkStart w:id="945" w:name="_Toc20229585"/>
      <w:r/>
      <w:bookmarkStart w:id="946" w:name="_Toc59804495"/>
      <w:r>
        <w:t xml:space="preserve">40</w:t>
      </w:r>
      <w:bookmarkEnd w:id="943"/>
      <w:r>
        <w:fldChar w:fldCharType="end"/>
      </w:r>
      <w:r>
        <w:t xml:space="preserve">. Типы документов</w:t>
      </w:r>
      <w:bookmarkEnd w:id="944"/>
      <w:r/>
      <w:bookmarkEnd w:id="945"/>
      <w:r/>
      <w:bookmarkEnd w:id="94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Тип документа;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Группа документов;</w:t>
      </w:r>
      <w:r/>
    </w:p>
    <w:p>
      <w:pPr>
        <w:pStyle w:val="976"/>
      </w:pPr>
      <w:r>
        <w:t xml:space="preserve">Классификатор документов;</w:t>
      </w:r>
      <w:r/>
    </w:p>
    <w:p>
      <w:pPr>
        <w:pStyle w:val="976"/>
      </w:pPr>
      <w:r>
        <w:t xml:space="preserve">Назначение сертификатов ЭП;</w:t>
      </w:r>
      <w:r/>
    </w:p>
    <w:p>
      <w:pPr>
        <w:pStyle w:val="976"/>
      </w:pPr>
      <w:r>
        <w:t xml:space="preserve">Тип документа на изменение;</w:t>
      </w:r>
      <w:r/>
    </w:p>
    <w:p>
      <w:pPr>
        <w:pStyle w:val="976"/>
      </w:pPr>
      <w:r>
        <w:t xml:space="preserve">Код формы по классификатору;</w:t>
      </w:r>
      <w:r/>
    </w:p>
    <w:p>
      <w:pPr>
        <w:pStyle w:val="976"/>
      </w:pPr>
      <w:r>
        <w:t xml:space="preserve">Документ клиента;</w:t>
      </w:r>
      <w:r/>
    </w:p>
    <w:p>
      <w:pPr>
        <w:pStyle w:val="976"/>
      </w:pPr>
      <w:r>
        <w:t xml:space="preserve">Максимально допустимый уровень секретности;</w:t>
      </w:r>
      <w:r/>
    </w:p>
    <w:p>
      <w:pPr>
        <w:pStyle w:val="976"/>
      </w:pPr>
      <w:r>
        <w:t xml:space="preserve">Системное имя формуляра;</w:t>
      </w:r>
      <w:r/>
    </w:p>
    <w:p>
      <w:pPr>
        <w:pStyle w:val="976"/>
      </w:pPr>
      <w:r>
        <w:t xml:space="preserve">Русское наименование формуляра;</w:t>
      </w:r>
      <w:r/>
    </w:p>
    <w:p>
      <w:pPr>
        <w:pStyle w:val="976"/>
      </w:pPr>
      <w:r>
        <w:t xml:space="preserve">Признак многоуровневого утверждения;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47" w:name="_Toc15564761"/>
      <w:r>
        <w:t xml:space="preserve">Справочник «Типы контролей</w:t>
      </w:r>
      <w:bookmarkEnd w:id="947"/>
      <w:r>
        <w:t xml:space="preserve">»</w:t>
      </w:r>
      <w:r/>
    </w:p>
    <w:p>
      <w:pPr>
        <w:pStyle w:val="1147"/>
        <w:numPr>
          <w:ilvl w:val="0"/>
          <w:numId w:val="62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«Типы контролей» (</w:t>
      </w:r>
      <w:r>
        <w:t xml:space="preserve">рис. </w:t>
      </w:r>
      <w:r>
        <w:fldChar w:fldCharType="begin"/>
      </w:r>
      <w:r>
        <w:instrText xml:space="preserve"> REF _Ref15394978 \h </w:instrText>
      </w:r>
      <w:r>
        <w:fldChar w:fldCharType="separate"/>
      </w:r>
      <w:r>
        <w:t xml:space="preserve">41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05525" cy="2306320"/>
                <wp:effectExtent l="0" t="0" r="0" b="0"/>
                <wp:docPr id="70" name="Рисунок 8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3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6105525" cy="2306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mso-wrap-distance-left:0.0pt;mso-wrap-distance-top:0.0pt;mso-wrap-distance-right:0.0pt;mso-wrap-distance-bottom:0.0pt;width:480.8pt;height:181.6pt;" stroked="false">
                <v:path textboxrect="0,0,0,0"/>
                <v:imagedata r:id="rId88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48" w:name="_Ref15394978"/>
      <w:r/>
      <w:bookmarkStart w:id="949" w:name="_Toc15564991"/>
      <w:r/>
      <w:bookmarkStart w:id="950" w:name="_Toc20229586"/>
      <w:r/>
      <w:bookmarkStart w:id="951" w:name="_Toc59804496"/>
      <w:r>
        <w:t xml:space="preserve">41</w:t>
      </w:r>
      <w:bookmarkEnd w:id="948"/>
      <w:r>
        <w:fldChar w:fldCharType="end"/>
      </w:r>
      <w:r>
        <w:t xml:space="preserve">. Типы контролей</w:t>
      </w:r>
      <w:bookmarkEnd w:id="949"/>
      <w:r/>
      <w:bookmarkEnd w:id="950"/>
      <w:r/>
      <w:bookmarkEnd w:id="95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Статус.</w:t>
      </w:r>
      <w:r/>
    </w:p>
    <w:p>
      <w:pPr>
        <w:pStyle w:val="964"/>
      </w:pPr>
      <w:r/>
      <w:bookmarkStart w:id="952" w:name="_Toc15564762"/>
      <w:r>
        <w:t xml:space="preserve">Справочник «Сферы бюджетного планирования</w:t>
      </w:r>
      <w:bookmarkEnd w:id="952"/>
      <w:r>
        <w:t xml:space="preserve">»</w:t>
      </w:r>
      <w:r/>
    </w:p>
    <w:p>
      <w:pPr>
        <w:pStyle w:val="1147"/>
        <w:numPr>
          <w:ilvl w:val="0"/>
          <w:numId w:val="63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«Сферы бюджетного планирования» (</w:t>
      </w:r>
      <w:r>
        <w:t xml:space="preserve">рис. </w:t>
      </w:r>
      <w:r>
        <w:fldChar w:fldCharType="begin"/>
      </w:r>
      <w:r>
        <w:instrText xml:space="preserve"> REF _Ref15395154 \h </w:instrText>
      </w:r>
      <w:r>
        <w:fldChar w:fldCharType="separate"/>
      </w:r>
      <w:r>
        <w:t xml:space="preserve">42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579495"/>
                <wp:effectExtent l="0" t="0" r="0" b="0"/>
                <wp:docPr id="71" name="Рисунок 8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34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6153149" cy="3579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mso-wrap-distance-left:0.0pt;mso-wrap-distance-top:0.0pt;mso-wrap-distance-right:0.0pt;mso-wrap-distance-bottom:0.0pt;width:484.5pt;height:281.8pt;" stroked="false">
                <v:path textboxrect="0,0,0,0"/>
                <v:imagedata r:id="rId89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53" w:name="_Ref15395154"/>
      <w:r/>
      <w:bookmarkStart w:id="954" w:name="_Toc15564992"/>
      <w:r/>
      <w:bookmarkStart w:id="955" w:name="_Toc20229587"/>
      <w:r/>
      <w:bookmarkStart w:id="956" w:name="_Toc59804497"/>
      <w:r>
        <w:t xml:space="preserve">42</w:t>
      </w:r>
      <w:bookmarkEnd w:id="953"/>
      <w:r>
        <w:fldChar w:fldCharType="end"/>
      </w:r>
      <w:r>
        <w:t xml:space="preserve">. Сферы бюджетного планирования</w:t>
      </w:r>
      <w:bookmarkEnd w:id="954"/>
      <w:r/>
      <w:bookmarkEnd w:id="955"/>
      <w:r/>
      <w:bookmarkEnd w:id="95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Код главы;</w:t>
      </w:r>
      <w:r/>
    </w:p>
    <w:p>
      <w:pPr>
        <w:pStyle w:val="976"/>
      </w:pPr>
      <w:r>
        <w:t xml:space="preserve">Код вышестоящей главы;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Сфера расходов бюджета;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57" w:name="_Toc15564763"/>
      <w:r>
        <w:t xml:space="preserve">Справочник «Департаменты МФ РФ</w:t>
      </w:r>
      <w:bookmarkEnd w:id="957"/>
      <w:r>
        <w:t xml:space="preserve">»</w:t>
      </w:r>
      <w:r/>
    </w:p>
    <w:p>
      <w:pPr>
        <w:pStyle w:val="1147"/>
        <w:numPr>
          <w:ilvl w:val="0"/>
          <w:numId w:val="64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«Департаменты МФ РФ» (</w:t>
      </w:r>
      <w:r>
        <w:t xml:space="preserve">рис. </w:t>
      </w:r>
      <w:r>
        <w:fldChar w:fldCharType="begin"/>
      </w:r>
      <w:r>
        <w:instrText xml:space="preserve"> REF _Ref15395811 \h </w:instrText>
      </w:r>
      <w:r>
        <w:fldChar w:fldCharType="separate"/>
      </w:r>
      <w:r>
        <w:t xml:space="preserve">43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3644265"/>
                <wp:effectExtent l="0" t="0" r="0" b="0"/>
                <wp:docPr id="72" name="Рисунок 8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35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6143625" cy="3644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mso-wrap-distance-left:0.0pt;mso-wrap-distance-top:0.0pt;mso-wrap-distance-right:0.0pt;mso-wrap-distance-bottom:0.0pt;width:483.8pt;height:286.9pt;" stroked="false">
                <v:path textboxrect="0,0,0,0"/>
                <v:imagedata r:id="rId9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58" w:name="_Ref15395811"/>
      <w:r/>
      <w:bookmarkStart w:id="959" w:name="_Toc15564993"/>
      <w:r/>
      <w:bookmarkStart w:id="960" w:name="_Toc20229588"/>
      <w:r/>
      <w:bookmarkStart w:id="961" w:name="_Toc59804498"/>
      <w:r>
        <w:t xml:space="preserve">43</w:t>
      </w:r>
      <w:bookmarkEnd w:id="958"/>
      <w:r>
        <w:fldChar w:fldCharType="end"/>
      </w:r>
      <w:r>
        <w:t xml:space="preserve">. Департаменты МФ РФ</w:t>
      </w:r>
      <w:bookmarkEnd w:id="959"/>
      <w:r/>
      <w:bookmarkEnd w:id="960"/>
      <w:r/>
      <w:bookmarkEnd w:id="96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 документа;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62" w:name="_Toc15564764"/>
      <w:r>
        <w:t xml:space="preserve">Справочник «Виды специальных указаний</w:t>
      </w:r>
      <w:bookmarkEnd w:id="962"/>
      <w:r>
        <w:t xml:space="preserve">»</w:t>
      </w:r>
      <w:r/>
    </w:p>
    <w:p>
      <w:pPr>
        <w:pStyle w:val="1147"/>
        <w:numPr>
          <w:ilvl w:val="0"/>
          <w:numId w:val="65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«Виды специальных указаний» (</w:t>
      </w:r>
      <w:r>
        <w:t xml:space="preserve">рис. </w:t>
      </w:r>
      <w:r>
        <w:fldChar w:fldCharType="begin"/>
      </w:r>
      <w:r>
        <w:instrText xml:space="preserve"> REF _Ref15395813 \h </w:instrText>
      </w:r>
      <w:r>
        <w:fldChar w:fldCharType="separate"/>
      </w:r>
      <w:r>
        <w:t xml:space="preserve">44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3333750"/>
                <wp:effectExtent l="0" t="0" r="0" b="0"/>
                <wp:docPr id="73" name="Рисунок 8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36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6115050" cy="3333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mso-wrap-distance-left:0.0pt;mso-wrap-distance-top:0.0pt;mso-wrap-distance-right:0.0pt;mso-wrap-distance-bottom:0.0pt;width:481.5pt;height:262.5pt;" stroked="false">
                <v:path textboxrect="0,0,0,0"/>
                <v:imagedata r:id="rId9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63" w:name="_Ref15395813"/>
      <w:r/>
      <w:bookmarkStart w:id="964" w:name="_Toc15564994"/>
      <w:r/>
      <w:bookmarkStart w:id="965" w:name="_Toc20229589"/>
      <w:r/>
      <w:bookmarkStart w:id="966" w:name="_Toc59804499"/>
      <w:r>
        <w:t xml:space="preserve">44</w:t>
      </w:r>
      <w:bookmarkEnd w:id="963"/>
      <w:r>
        <w:fldChar w:fldCharType="end"/>
      </w:r>
      <w:r>
        <w:t xml:space="preserve">. Виды специальных указаний</w:t>
      </w:r>
      <w:bookmarkEnd w:id="964"/>
      <w:r/>
      <w:bookmarkEnd w:id="965"/>
      <w:r/>
      <w:bookmarkEnd w:id="96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67" w:name="_Toc15564765"/>
      <w:r>
        <w:t xml:space="preserve">Справочник «БА, ЛБО за счет лицевых иностранных кредитов и перечень ПНО</w:t>
      </w:r>
      <w:bookmarkEnd w:id="967"/>
      <w:r>
        <w:t xml:space="preserve">»</w:t>
      </w:r>
      <w:r/>
    </w:p>
    <w:p>
      <w:pPr>
        <w:pStyle w:val="1147"/>
        <w:numPr>
          <w:ilvl w:val="0"/>
          <w:numId w:val="66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«БА, ЛБО за счет лицевых иностранных кредитов и перечень ПНО» (</w:t>
      </w:r>
      <w:r>
        <w:t xml:space="preserve">рис. </w:t>
      </w:r>
      <w:r>
        <w:fldChar w:fldCharType="begin"/>
      </w:r>
      <w:r>
        <w:instrText xml:space="preserve"> REF _Ref15395812 \h </w:instrText>
      </w:r>
      <w:r>
        <w:fldChar w:fldCharType="separate"/>
      </w:r>
      <w:r>
        <w:t xml:space="preserve">45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201035"/>
                <wp:effectExtent l="0" t="0" r="0" b="0"/>
                <wp:docPr id="74" name="Рисунок 8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37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6153149" cy="32010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mso-wrap-distance-left:0.0pt;mso-wrap-distance-top:0.0pt;mso-wrap-distance-right:0.0pt;mso-wrap-distance-bottom:0.0pt;width:484.5pt;height:252.0pt;" stroked="false">
                <v:path textboxrect="0,0,0,0"/>
                <v:imagedata r:id="rId9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68" w:name="_Ref15395812"/>
      <w:r/>
      <w:bookmarkStart w:id="969" w:name="_Toc15564995"/>
      <w:r/>
      <w:bookmarkStart w:id="970" w:name="_Toc20229590"/>
      <w:r/>
      <w:bookmarkStart w:id="971" w:name="_Toc59804500"/>
      <w:r>
        <w:t xml:space="preserve">45</w:t>
      </w:r>
      <w:bookmarkEnd w:id="968"/>
      <w:r>
        <w:fldChar w:fldCharType="end"/>
      </w:r>
      <w:r>
        <w:t xml:space="preserve">. БА, ЛБО за счет лицевых иностранных кредитов и перечень ПНО</w:t>
      </w:r>
      <w:bookmarkEnd w:id="969"/>
      <w:r/>
      <w:bookmarkEnd w:id="970"/>
      <w:r/>
      <w:bookmarkEnd w:id="97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Раздел;</w:t>
      </w:r>
      <w:r/>
    </w:p>
    <w:p>
      <w:pPr>
        <w:pStyle w:val="976"/>
      </w:pPr>
      <w:r>
        <w:t xml:space="preserve">Подраздел;</w:t>
      </w:r>
      <w:r/>
    </w:p>
    <w:p>
      <w:pPr>
        <w:pStyle w:val="976"/>
      </w:pPr>
      <w:r>
        <w:t xml:space="preserve">Целевая статья;</w:t>
      </w:r>
      <w:r/>
    </w:p>
    <w:p>
      <w:pPr>
        <w:pStyle w:val="976"/>
      </w:pPr>
      <w:r>
        <w:t xml:space="preserve">Вид расходов;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введен);</w:t>
      </w:r>
      <w:r/>
    </w:p>
    <w:p>
      <w:pPr>
        <w:pStyle w:val="976"/>
      </w:pPr>
      <w:r>
        <w:t xml:space="preserve">Код по БК.</w:t>
      </w:r>
      <w:r/>
    </w:p>
    <w:p>
      <w:pPr>
        <w:pStyle w:val="964"/>
      </w:pPr>
      <w:r/>
      <w:bookmarkStart w:id="972" w:name="_Toc15564766"/>
      <w:r>
        <w:t xml:space="preserve">Справочник «Виды дополнительной информации для внесения в роспись</w:t>
      </w:r>
      <w:bookmarkEnd w:id="972"/>
      <w:r>
        <w:t xml:space="preserve">»</w:t>
      </w:r>
      <w:r/>
    </w:p>
    <w:p>
      <w:pPr>
        <w:pStyle w:val="1147"/>
        <w:numPr>
          <w:ilvl w:val="0"/>
          <w:numId w:val="67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«Виды дополнительной информации для внесения в роспись» (</w:t>
      </w:r>
      <w:r>
        <w:t xml:space="preserve">рис. </w:t>
      </w:r>
      <w:r>
        <w:fldChar w:fldCharType="begin"/>
      </w:r>
      <w:r>
        <w:instrText xml:space="preserve"> REF _Ref15395814 \h </w:instrText>
      </w:r>
      <w:r>
        <w:fldChar w:fldCharType="separate"/>
      </w:r>
      <w:r>
        <w:t xml:space="preserve">46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034665"/>
                <wp:effectExtent l="0" t="0" r="0" b="0"/>
                <wp:docPr id="75" name="Рисунок 8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38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6153149" cy="303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mso-wrap-distance-left:0.0pt;mso-wrap-distance-top:0.0pt;mso-wrap-distance-right:0.0pt;mso-wrap-distance-bottom:0.0pt;width:484.5pt;height:238.9pt;" stroked="false">
                <v:path textboxrect="0,0,0,0"/>
                <v:imagedata r:id="rId9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73" w:name="_Ref15395814"/>
      <w:r/>
      <w:bookmarkStart w:id="974" w:name="_Toc15564996"/>
      <w:r/>
      <w:bookmarkStart w:id="975" w:name="_Toc20229591"/>
      <w:r/>
      <w:bookmarkStart w:id="976" w:name="_Toc59804501"/>
      <w:r>
        <w:t xml:space="preserve">46</w:t>
      </w:r>
      <w:bookmarkEnd w:id="973"/>
      <w:r>
        <w:fldChar w:fldCharType="end"/>
      </w:r>
      <w:r>
        <w:t xml:space="preserve">. Виды дополнительной информации для внесения в роспись</w:t>
      </w:r>
      <w:bookmarkEnd w:id="974"/>
      <w:r/>
      <w:bookmarkEnd w:id="975"/>
      <w:r/>
      <w:bookmarkEnd w:id="97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77" w:name="_Toc15564767"/>
      <w:r>
        <w:t xml:space="preserve">Справочник «Виды изменений СБР</w:t>
      </w:r>
      <w:bookmarkEnd w:id="977"/>
      <w:r>
        <w:t xml:space="preserve">»</w:t>
      </w:r>
      <w:r/>
    </w:p>
    <w:p>
      <w:pPr>
        <w:pStyle w:val="1147"/>
        <w:numPr>
          <w:ilvl w:val="0"/>
          <w:numId w:val="68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«Виды изменений СБР» (</w:t>
      </w:r>
      <w:r>
        <w:t xml:space="preserve">рис. </w:t>
      </w:r>
      <w:r>
        <w:fldChar w:fldCharType="begin"/>
      </w:r>
      <w:r>
        <w:instrText xml:space="preserve"> REF _Ref15395941 \h </w:instrText>
      </w:r>
      <w:r>
        <w:fldChar w:fldCharType="separate"/>
      </w:r>
      <w:r>
        <w:t xml:space="preserve">47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3710940"/>
                <wp:effectExtent l="0" t="0" r="0" b="0"/>
                <wp:docPr id="76" name="Рисунок 9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39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6143625" cy="3710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mso-wrap-distance-left:0.0pt;mso-wrap-distance-top:0.0pt;mso-wrap-distance-right:0.0pt;mso-wrap-distance-bottom:0.0pt;width:483.8pt;height:292.2pt;" stroked="false">
                <v:path textboxrect="0,0,0,0"/>
                <v:imagedata r:id="rId9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78" w:name="_Ref15395941"/>
      <w:r/>
      <w:bookmarkStart w:id="979" w:name="_Toc15564997"/>
      <w:r/>
      <w:bookmarkStart w:id="980" w:name="_Toc20229592"/>
      <w:r/>
      <w:bookmarkStart w:id="981" w:name="_Toc59804502"/>
      <w:r>
        <w:t xml:space="preserve">47</w:t>
      </w:r>
      <w:bookmarkEnd w:id="978"/>
      <w:r>
        <w:fldChar w:fldCharType="end"/>
      </w:r>
      <w:r>
        <w:t xml:space="preserve">. Виды изменений СБР</w:t>
      </w:r>
      <w:bookmarkEnd w:id="979"/>
      <w:r/>
      <w:bookmarkEnd w:id="980"/>
      <w:r/>
      <w:bookmarkEnd w:id="98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Справка ф. 0501051;</w:t>
      </w:r>
      <w:r/>
    </w:p>
    <w:p>
      <w:pPr>
        <w:pStyle w:val="976"/>
      </w:pPr>
      <w:r>
        <w:t xml:space="preserve">Справка ф. 0501055;</w:t>
      </w:r>
      <w:r/>
    </w:p>
    <w:p>
      <w:pPr>
        <w:pStyle w:val="976"/>
      </w:pPr>
      <w:r>
        <w:t xml:space="preserve">Справка ф. 0501065;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82" w:name="_Toc15564768"/>
      <w:r>
        <w:t xml:space="preserve">Справочник «Виды оснований для внесения изменений в Роспись (По вопросу)</w:t>
      </w:r>
      <w:bookmarkEnd w:id="982"/>
      <w:r>
        <w:t xml:space="preserve">»</w:t>
      </w:r>
      <w:r/>
    </w:p>
    <w:p>
      <w:pPr>
        <w:pStyle w:val="1147"/>
        <w:numPr>
          <w:ilvl w:val="0"/>
          <w:numId w:val="69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«Виды оснований для внесения изменений в Роспись (По вопросу)» (</w:t>
      </w:r>
      <w:r>
        <w:t xml:space="preserve">рис. </w:t>
      </w:r>
      <w:r>
        <w:fldChar w:fldCharType="begin"/>
      </w:r>
      <w:r>
        <w:instrText xml:space="preserve"> REF _Ref15396098 \h </w:instrText>
      </w:r>
      <w:r>
        <w:fldChar w:fldCharType="separate"/>
      </w:r>
      <w:r>
        <w:t xml:space="preserve">48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3068320"/>
                <wp:effectExtent l="0" t="0" r="0" b="0"/>
                <wp:docPr id="77" name="Рисунок 9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40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6115050" cy="30683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mso-wrap-distance-left:0.0pt;mso-wrap-distance-top:0.0pt;mso-wrap-distance-right:0.0pt;mso-wrap-distance-bottom:0.0pt;width:481.5pt;height:241.6pt;" stroked="false">
                <v:path textboxrect="0,0,0,0"/>
                <v:imagedata r:id="rId95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83" w:name="_Ref15396098"/>
      <w:r/>
      <w:bookmarkStart w:id="984" w:name="_Toc15564998"/>
      <w:r/>
      <w:bookmarkStart w:id="985" w:name="_Toc20229593"/>
      <w:r/>
      <w:bookmarkStart w:id="986" w:name="_Toc59804503"/>
      <w:r>
        <w:t xml:space="preserve">48</w:t>
      </w:r>
      <w:bookmarkEnd w:id="983"/>
      <w:r>
        <w:fldChar w:fldCharType="end"/>
      </w:r>
      <w:r>
        <w:t xml:space="preserve">. Виды оснований для внесения изменений в Роспись (По вопросу)</w:t>
      </w:r>
      <w:bookmarkEnd w:id="984"/>
      <w:r/>
      <w:bookmarkEnd w:id="985"/>
      <w:r/>
      <w:bookmarkEnd w:id="98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 документа;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87" w:name="_Toc15564769"/>
      <w:r>
        <w:t xml:space="preserve">Справочник «Аналитические коды</w:t>
      </w:r>
      <w:bookmarkEnd w:id="987"/>
      <w:r>
        <w:t xml:space="preserve">»</w:t>
      </w:r>
      <w:r/>
    </w:p>
    <w:p>
      <w:pPr>
        <w:pStyle w:val="1147"/>
        <w:numPr>
          <w:ilvl w:val="0"/>
          <w:numId w:val="70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«Аналитические коды» (</w:t>
      </w:r>
      <w:r>
        <w:t xml:space="preserve">рис. </w:t>
      </w:r>
      <w:r>
        <w:fldChar w:fldCharType="begin"/>
      </w:r>
      <w:r>
        <w:instrText xml:space="preserve"> REF _Ref15396403 \h </w:instrText>
      </w:r>
      <w:r>
        <w:fldChar w:fldCharType="separate"/>
      </w:r>
      <w:r>
        <w:t xml:space="preserve">49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4100" cy="2760345"/>
                <wp:effectExtent l="0" t="0" r="0" b="0"/>
                <wp:docPr id="78" name="Рисунок 9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4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6134100" cy="2760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mso-wrap-distance-left:0.0pt;mso-wrap-distance-top:0.0pt;mso-wrap-distance-right:0.0pt;mso-wrap-distance-bottom:0.0pt;width:483.0pt;height:217.3pt;" stroked="false">
                <v:path textboxrect="0,0,0,0"/>
                <v:imagedata r:id="rId96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88" w:name="_Ref15396403"/>
      <w:r/>
      <w:bookmarkStart w:id="989" w:name="_Toc15564999"/>
      <w:r/>
      <w:bookmarkStart w:id="990" w:name="_Toc20229594"/>
      <w:r/>
      <w:bookmarkStart w:id="991" w:name="_Toc59804504"/>
      <w:r>
        <w:t xml:space="preserve">49</w:t>
      </w:r>
      <w:bookmarkEnd w:id="988"/>
      <w:r>
        <w:fldChar w:fldCharType="end"/>
      </w:r>
      <w:r>
        <w:t xml:space="preserve">. Аналитические коды</w:t>
      </w:r>
      <w:bookmarkEnd w:id="989"/>
      <w:r/>
      <w:bookmarkEnd w:id="990"/>
      <w:r/>
      <w:bookmarkEnd w:id="99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Бюджет;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Код;</w:t>
      </w:r>
      <w:r/>
    </w:p>
    <w:p>
      <w:pPr>
        <w:pStyle w:val="976"/>
      </w:pPr>
      <w:r>
        <w:t xml:space="preserve">Сокращенное наименование;</w:t>
      </w:r>
      <w:r/>
    </w:p>
    <w:p>
      <w:pPr>
        <w:pStyle w:val="976"/>
      </w:pPr>
      <w:r>
        <w:t xml:space="preserve">Полное наименование;</w:t>
      </w:r>
      <w:r/>
    </w:p>
    <w:p>
      <w:pPr>
        <w:pStyle w:val="976"/>
      </w:pPr>
      <w:r>
        <w:t xml:space="preserve">Код вышестоящего аналитического кода;</w:t>
      </w:r>
      <w:r/>
    </w:p>
    <w:p>
      <w:pPr>
        <w:pStyle w:val="976"/>
      </w:pPr>
      <w:r>
        <w:t xml:space="preserve">Шаблон доходов;</w:t>
      </w:r>
      <w:r/>
    </w:p>
    <w:p>
      <w:pPr>
        <w:pStyle w:val="976"/>
      </w:pPr>
      <w:r>
        <w:t xml:space="preserve">Шаблон расходов;</w:t>
      </w:r>
      <w:r/>
    </w:p>
    <w:p>
      <w:pPr>
        <w:pStyle w:val="976"/>
      </w:pPr>
      <w:r>
        <w:t xml:space="preserve">Признак отсутствия контроля;</w:t>
      </w:r>
      <w:r/>
    </w:p>
    <w:p>
      <w:pPr>
        <w:pStyle w:val="976"/>
      </w:pPr>
      <w:r>
        <w:t xml:space="preserve">Код объекта по ФАИП;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92" w:name="_Toc15564770"/>
      <w:r>
        <w:t xml:space="preserve">Справочник «Количество лет бюджетного планирования</w:t>
      </w:r>
      <w:bookmarkEnd w:id="992"/>
      <w:r>
        <w:t xml:space="preserve">»</w:t>
      </w:r>
      <w:r/>
    </w:p>
    <w:p>
      <w:pPr>
        <w:pStyle w:val="1147"/>
        <w:numPr>
          <w:ilvl w:val="0"/>
          <w:numId w:val="71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«Количество лет бюджетного планирования» (</w:t>
      </w:r>
      <w:r>
        <w:t xml:space="preserve">рис. </w:t>
      </w:r>
      <w:r>
        <w:fldChar w:fldCharType="begin"/>
      </w:r>
      <w:r>
        <w:instrText xml:space="preserve"> REF _Ref15396575 \h </w:instrText>
      </w:r>
      <w:r>
        <w:fldChar w:fldCharType="separate"/>
      </w:r>
      <w:r>
        <w:t xml:space="preserve">50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62675" cy="3176905"/>
                <wp:effectExtent l="0" t="0" r="0" b="0"/>
                <wp:docPr id="79" name="Рисунок 9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42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6162675" cy="31769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mso-wrap-distance-left:0.0pt;mso-wrap-distance-top:0.0pt;mso-wrap-distance-right:0.0pt;mso-wrap-distance-bottom:0.0pt;width:485.2pt;height:250.1pt;" stroked="false">
                <v:path textboxrect="0,0,0,0"/>
                <v:imagedata r:id="rId97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93" w:name="_Ref15396575"/>
      <w:r/>
      <w:bookmarkStart w:id="994" w:name="_Toc15565000"/>
      <w:r/>
      <w:bookmarkStart w:id="995" w:name="_Toc20229595"/>
      <w:r/>
      <w:bookmarkStart w:id="996" w:name="_Toc59804505"/>
      <w:r>
        <w:t xml:space="preserve">50</w:t>
      </w:r>
      <w:bookmarkEnd w:id="993"/>
      <w:r>
        <w:fldChar w:fldCharType="end"/>
      </w:r>
      <w:r>
        <w:t xml:space="preserve">. Количество лет бюджетного планирования</w:t>
      </w:r>
      <w:bookmarkEnd w:id="994"/>
      <w:r/>
      <w:bookmarkEnd w:id="995"/>
      <w:r/>
      <w:bookmarkEnd w:id="99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Текущий год финансирования;</w:t>
      </w:r>
      <w:r/>
    </w:p>
    <w:p>
      <w:pPr>
        <w:pStyle w:val="976"/>
      </w:pPr>
      <w:r>
        <w:t xml:space="preserve">Количество лет;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введен).</w:t>
      </w:r>
      <w:r/>
    </w:p>
    <w:p>
      <w:pPr>
        <w:pStyle w:val="964"/>
      </w:pPr>
      <w:r/>
      <w:bookmarkStart w:id="997" w:name="_Toc15564771"/>
      <w:r>
        <w:t xml:space="preserve">Справочник «Иерархия КБК</w:t>
      </w:r>
      <w:bookmarkEnd w:id="997"/>
      <w:r>
        <w:t xml:space="preserve">»</w:t>
      </w:r>
      <w:r/>
    </w:p>
    <w:p>
      <w:pPr>
        <w:pStyle w:val="1147"/>
        <w:numPr>
          <w:ilvl w:val="0"/>
          <w:numId w:val="72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«Иерархия КБК» (</w:t>
      </w:r>
      <w:r>
        <w:t xml:space="preserve">рис. </w:t>
      </w:r>
      <w:r>
        <w:fldChar w:fldCharType="begin"/>
      </w:r>
      <w:r>
        <w:instrText xml:space="preserve"> REF _Ref15396694 \h </w:instrText>
      </w:r>
      <w:r>
        <w:fldChar w:fldCharType="separate"/>
      </w:r>
      <w:r>
        <w:t xml:space="preserve">51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72200" cy="3063240"/>
                <wp:effectExtent l="0" t="0" r="0" b="0"/>
                <wp:docPr id="80" name="Рисунок 9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4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6172200" cy="3063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mso-wrap-distance-left:0.0pt;mso-wrap-distance-top:0.0pt;mso-wrap-distance-right:0.0pt;mso-wrap-distance-bottom:0.0pt;width:486.0pt;height:241.2pt;" stroked="false">
                <v:path textboxrect="0,0,0,0"/>
                <v:imagedata r:id="rId98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998" w:name="_Ref15396694"/>
      <w:r/>
      <w:bookmarkStart w:id="999" w:name="_Toc15565001"/>
      <w:r/>
      <w:bookmarkStart w:id="1000" w:name="_Toc20229596"/>
      <w:r/>
      <w:bookmarkStart w:id="1001" w:name="_Toc59804506"/>
      <w:r>
        <w:t xml:space="preserve">51</w:t>
      </w:r>
      <w:bookmarkEnd w:id="998"/>
      <w:r>
        <w:fldChar w:fldCharType="end"/>
      </w:r>
      <w:r>
        <w:t xml:space="preserve">. Иерархия КБК</w:t>
      </w:r>
      <w:bookmarkEnd w:id="999"/>
      <w:r/>
      <w:bookmarkEnd w:id="1000"/>
      <w:r/>
      <w:bookmarkEnd w:id="100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КБК;</w:t>
      </w:r>
      <w:r/>
    </w:p>
    <w:p>
      <w:pPr>
        <w:pStyle w:val="976"/>
      </w:pPr>
      <w:r>
        <w:t xml:space="preserve">Вышестоящий КБК;</w:t>
      </w:r>
      <w:r/>
    </w:p>
    <w:p>
      <w:pPr>
        <w:pStyle w:val="976"/>
      </w:pPr>
      <w:r>
        <w:t xml:space="preserve">Уровень иерархии;</w:t>
      </w:r>
      <w:r/>
    </w:p>
    <w:p>
      <w:pPr>
        <w:pStyle w:val="976"/>
      </w:pPr>
      <w:r>
        <w:t xml:space="preserve">Дата создания;</w:t>
      </w:r>
      <w:r/>
    </w:p>
    <w:p>
      <w:pPr>
        <w:pStyle w:val="976"/>
      </w:pPr>
      <w:r>
        <w:t xml:space="preserve">Глава;</w:t>
      </w:r>
      <w:r/>
    </w:p>
    <w:p>
      <w:pPr>
        <w:pStyle w:val="976"/>
      </w:pPr>
      <w:r>
        <w:t xml:space="preserve">Раздел/Подраздел;</w:t>
      </w:r>
      <w:r/>
    </w:p>
    <w:p>
      <w:pPr>
        <w:pStyle w:val="976"/>
      </w:pPr>
      <w:r>
        <w:t xml:space="preserve">Целевая статья;</w:t>
      </w:r>
      <w:r/>
    </w:p>
    <w:p>
      <w:pPr>
        <w:pStyle w:val="976"/>
      </w:pPr>
      <w:r>
        <w:t xml:space="preserve">Вид расхода;</w:t>
      </w:r>
      <w:r/>
    </w:p>
    <w:p>
      <w:pPr>
        <w:pStyle w:val="976"/>
      </w:pPr>
      <w:r>
        <w:t xml:space="preserve">Вышестоящая глава;</w:t>
      </w:r>
      <w:r/>
    </w:p>
    <w:p>
      <w:pPr>
        <w:pStyle w:val="976"/>
      </w:pPr>
      <w:r>
        <w:t xml:space="preserve">Вышестоящий раздел/подраздел;</w:t>
      </w:r>
      <w:r/>
    </w:p>
    <w:p>
      <w:pPr>
        <w:pStyle w:val="976"/>
      </w:pPr>
      <w:r>
        <w:t xml:space="preserve">Вышестоящая целевая статья;</w:t>
      </w:r>
      <w:r/>
    </w:p>
    <w:p>
      <w:pPr>
        <w:pStyle w:val="976"/>
      </w:pPr>
      <w:r>
        <w:t xml:space="preserve">Вышестоящий вид расхода.</w:t>
      </w:r>
      <w:r/>
    </w:p>
    <w:p>
      <w:pPr>
        <w:pStyle w:val="964"/>
      </w:pPr>
      <w:r/>
      <w:bookmarkStart w:id="1002" w:name="_Toc15564772"/>
      <w:r>
        <w:t xml:space="preserve">Справочник «Перечень кодов мероприятий по информатизации</w:t>
      </w:r>
      <w:bookmarkEnd w:id="1002"/>
      <w:r>
        <w:t xml:space="preserve">»</w:t>
      </w:r>
      <w:r/>
    </w:p>
    <w:p>
      <w:pPr>
        <w:pStyle w:val="1147"/>
        <w:numPr>
          <w:ilvl w:val="0"/>
          <w:numId w:val="73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«Перечень кодов мероприятий по информатизации» (</w:t>
      </w:r>
      <w:r>
        <w:t xml:space="preserve">рис. </w:t>
      </w:r>
      <w:r>
        <w:fldChar w:fldCharType="begin"/>
      </w:r>
      <w:r>
        <w:instrText xml:space="preserve"> REF _Ref15396907 \h </w:instrText>
      </w:r>
      <w:r>
        <w:fldChar w:fldCharType="separate"/>
      </w:r>
      <w:r>
        <w:t xml:space="preserve">52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2424430"/>
                <wp:effectExtent l="0" t="0" r="0" b="0"/>
                <wp:docPr id="81" name="Рисунок 9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44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6115050" cy="2424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mso-wrap-distance-left:0.0pt;mso-wrap-distance-top:0.0pt;mso-wrap-distance-right:0.0pt;mso-wrap-distance-bottom:0.0pt;width:481.5pt;height:190.9pt;" stroked="false">
                <v:path textboxrect="0,0,0,0"/>
                <v:imagedata r:id="rId99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03" w:name="_Ref15396907"/>
      <w:r/>
      <w:bookmarkStart w:id="1004" w:name="_Toc15565002"/>
      <w:r/>
      <w:bookmarkStart w:id="1005" w:name="_Toc20229597"/>
      <w:r/>
      <w:bookmarkStart w:id="1006" w:name="_Toc59804507"/>
      <w:r>
        <w:t xml:space="preserve">52</w:t>
      </w:r>
      <w:bookmarkEnd w:id="1003"/>
      <w:r>
        <w:fldChar w:fldCharType="end"/>
      </w:r>
      <w:r>
        <w:t xml:space="preserve">. Перечень кодов мероприятий по информатизации</w:t>
      </w:r>
      <w:bookmarkEnd w:id="1004"/>
      <w:r/>
      <w:bookmarkEnd w:id="1005"/>
      <w:r/>
      <w:bookmarkEnd w:id="100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мероприятия по информатизации;</w:t>
      </w:r>
      <w:r/>
    </w:p>
    <w:p>
      <w:pPr>
        <w:pStyle w:val="976"/>
      </w:pPr>
      <w:r>
        <w:t xml:space="preserve">Наименование мероприятия по информатизации;</w:t>
      </w:r>
      <w:r/>
    </w:p>
    <w:p>
      <w:pPr>
        <w:pStyle w:val="976"/>
      </w:pPr>
      <w:r>
        <w:t xml:space="preserve">КБК;</w:t>
      </w:r>
      <w:r/>
    </w:p>
    <w:p>
      <w:pPr>
        <w:pStyle w:val="976"/>
      </w:pPr>
      <w:r>
        <w:t xml:space="preserve">Код получателя средств федерального бюджета по Сводному реестру;</w:t>
      </w:r>
      <w:r/>
    </w:p>
    <w:p>
      <w:pPr>
        <w:pStyle w:val="976"/>
      </w:pPr>
      <w:r>
        <w:t xml:space="preserve">Наименование получателя средств федерального бюджета;</w:t>
      </w:r>
      <w:r/>
    </w:p>
    <w:p>
      <w:pPr>
        <w:pStyle w:val="976"/>
      </w:pPr>
      <w:r>
        <w:t xml:space="preserve">Сумма на текущий финансовый год;</w:t>
      </w:r>
      <w:r/>
    </w:p>
    <w:p>
      <w:pPr>
        <w:pStyle w:val="976"/>
      </w:pPr>
      <w:r>
        <w:t xml:space="preserve">Сумма на первый год планового периода;</w:t>
      </w:r>
      <w:r/>
    </w:p>
    <w:p>
      <w:pPr>
        <w:pStyle w:val="976"/>
      </w:pPr>
      <w:r>
        <w:t xml:space="preserve">Сумма на второй год планового периода;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Транспортный статус.</w:t>
      </w:r>
      <w:r/>
    </w:p>
    <w:p>
      <w:pPr>
        <w:pStyle w:val="964"/>
      </w:pPr>
      <w:r/>
      <w:bookmarkStart w:id="1007" w:name="_Toc15564773"/>
      <w:r>
        <w:t xml:space="preserve">Справочник «Взаимодействие с внешними системами</w:t>
      </w:r>
      <w:bookmarkEnd w:id="1007"/>
      <w:r>
        <w:t xml:space="preserve">»</w:t>
      </w:r>
      <w:r/>
    </w:p>
    <w:p>
      <w:pPr>
        <w:pStyle w:val="1147"/>
        <w:numPr>
          <w:ilvl w:val="0"/>
          <w:numId w:val="74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«Взаимодействие с внешними системами» (</w:t>
      </w:r>
      <w:r>
        <w:t xml:space="preserve">рис. </w:t>
      </w:r>
      <w:r>
        <w:fldChar w:fldCharType="begin"/>
      </w:r>
      <w:r>
        <w:instrText xml:space="preserve"> REF _Ref15397573 \h </w:instrText>
      </w:r>
      <w:r>
        <w:fldChar w:fldCharType="separate"/>
      </w:r>
      <w:r>
        <w:t xml:space="preserve">53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2995930"/>
                <wp:effectExtent l="0" t="0" r="0" b="0"/>
                <wp:docPr id="82" name="Рисунок 12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45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6143625" cy="2995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mso-wrap-distance-left:0.0pt;mso-wrap-distance-top:0.0pt;mso-wrap-distance-right:0.0pt;mso-wrap-distance-bottom:0.0pt;width:483.8pt;height:235.9pt;" stroked="false">
                <v:path textboxrect="0,0,0,0"/>
                <v:imagedata r:id="rId10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08" w:name="_Ref15397573"/>
      <w:r/>
      <w:bookmarkStart w:id="1009" w:name="_Toc15565003"/>
      <w:r/>
      <w:bookmarkStart w:id="1010" w:name="_Toc20229598"/>
      <w:r/>
      <w:bookmarkStart w:id="1011" w:name="_Toc59804508"/>
      <w:r>
        <w:t xml:space="preserve">53</w:t>
      </w:r>
      <w:bookmarkEnd w:id="1008"/>
      <w:r>
        <w:fldChar w:fldCharType="end"/>
      </w:r>
      <w:r>
        <w:t xml:space="preserve">. Взаимодействие с внешними системами</w:t>
      </w:r>
      <w:bookmarkEnd w:id="1009"/>
      <w:r/>
      <w:bookmarkEnd w:id="1010"/>
      <w:r/>
      <w:bookmarkEnd w:id="101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Код главы;</w:t>
      </w:r>
      <w:r/>
    </w:p>
    <w:p>
      <w:pPr>
        <w:pStyle w:val="976"/>
      </w:pPr>
      <w:r>
        <w:t xml:space="preserve">Тип ЛС;</w:t>
      </w:r>
      <w:r/>
    </w:p>
    <w:p>
      <w:pPr>
        <w:pStyle w:val="976"/>
      </w:pPr>
      <w:r>
        <w:t xml:space="preserve">Лицевой счет;</w:t>
      </w:r>
      <w:r/>
    </w:p>
    <w:p>
      <w:pPr>
        <w:pStyle w:val="976"/>
      </w:pPr>
      <w:r>
        <w:t xml:space="preserve">Наименование документа;</w:t>
      </w:r>
      <w:r/>
    </w:p>
    <w:p>
      <w:pPr>
        <w:pStyle w:val="976"/>
      </w:pPr>
      <w:r>
        <w:t xml:space="preserve">Мастер-система контролей;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Подсистема взаимодействия.</w:t>
      </w:r>
      <w:r/>
    </w:p>
    <w:p>
      <w:pPr>
        <w:pStyle w:val="964"/>
      </w:pPr>
      <w:r/>
      <w:bookmarkStart w:id="1012" w:name="_Toc15564774"/>
      <w:r>
        <w:t xml:space="preserve">Справочник «Период действия ПОФР</w:t>
      </w:r>
      <w:bookmarkEnd w:id="1012"/>
      <w:r>
        <w:t xml:space="preserve">»</w:t>
      </w:r>
      <w:r/>
    </w:p>
    <w:p>
      <w:pPr>
        <w:pStyle w:val="1147"/>
        <w:numPr>
          <w:ilvl w:val="0"/>
          <w:numId w:val="75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«Период действия ПОФР» (</w:t>
      </w:r>
      <w:r>
        <w:t xml:space="preserve">рис. </w:t>
      </w:r>
      <w:r>
        <w:fldChar w:fldCharType="begin"/>
      </w:r>
      <w:r>
        <w:instrText xml:space="preserve"> REF _Ref15397574 \h </w:instrText>
      </w:r>
      <w:r>
        <w:fldChar w:fldCharType="separate"/>
      </w:r>
      <w:r>
        <w:t xml:space="preserve">54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62675" cy="3104515"/>
                <wp:effectExtent l="0" t="0" r="0" b="0"/>
                <wp:docPr id="83" name="Рисунок 12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46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6162675" cy="3104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mso-wrap-distance-left:0.0pt;mso-wrap-distance-top:0.0pt;mso-wrap-distance-right:0.0pt;mso-wrap-distance-bottom:0.0pt;width:485.2pt;height:244.4pt;" stroked="false">
                <v:path textboxrect="0,0,0,0"/>
                <v:imagedata r:id="rId10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13" w:name="_Ref15397574"/>
      <w:r/>
      <w:bookmarkStart w:id="1014" w:name="_Toc15565004"/>
      <w:r/>
      <w:bookmarkStart w:id="1015" w:name="_Toc20229599"/>
      <w:r/>
      <w:bookmarkStart w:id="1016" w:name="_Toc59804509"/>
      <w:r>
        <w:t xml:space="preserve">54</w:t>
      </w:r>
      <w:bookmarkEnd w:id="1013"/>
      <w:r>
        <w:fldChar w:fldCharType="end"/>
      </w:r>
      <w:r>
        <w:t xml:space="preserve">. Период действия ПОФР</w:t>
      </w:r>
      <w:bookmarkEnd w:id="1014"/>
      <w:r/>
      <w:bookmarkEnd w:id="1015"/>
      <w:r/>
      <w:bookmarkEnd w:id="101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Текущий год финансирования;</w:t>
      </w:r>
      <w:r/>
    </w:p>
    <w:p>
      <w:pPr>
        <w:pStyle w:val="976"/>
      </w:pPr>
      <w:r>
        <w:t xml:space="preserve">Код ГРБС;</w:t>
      </w:r>
      <w:r/>
    </w:p>
    <w:p>
      <w:pPr>
        <w:pStyle w:val="976"/>
      </w:pPr>
      <w:r>
        <w:t xml:space="preserve">Наименование ГРБС;</w:t>
      </w:r>
      <w:r/>
    </w:p>
    <w:p>
      <w:pPr>
        <w:pStyle w:val="976"/>
      </w:pPr>
      <w:r>
        <w:t xml:space="preserve">ТОФК (где введен);</w:t>
      </w:r>
      <w:r/>
    </w:p>
    <w:p>
      <w:pPr>
        <w:pStyle w:val="976"/>
      </w:pPr>
      <w:r>
        <w:t xml:space="preserve">Наименование ТОФК (где введен);</w:t>
      </w:r>
      <w:r/>
    </w:p>
    <w:p>
      <w:pPr>
        <w:pStyle w:val="976"/>
      </w:pPr>
      <w:r>
        <w:t xml:space="preserve">Отдельным УБП;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по;</w:t>
      </w:r>
      <w:r/>
    </w:p>
    <w:p>
      <w:pPr>
        <w:pStyle w:val="976"/>
      </w:pPr>
      <w:r>
        <w:t xml:space="preserve">Дата изменения.</w:t>
      </w:r>
      <w:r/>
    </w:p>
    <w:p>
      <w:pPr>
        <w:pStyle w:val="964"/>
      </w:pPr>
      <w:r/>
      <w:bookmarkStart w:id="1017" w:name="_Toc15564775"/>
      <w:r>
        <w:t xml:space="preserve">Справочник «КБК Источники</w:t>
      </w:r>
      <w:bookmarkEnd w:id="1017"/>
      <w:r>
        <w:t xml:space="preserve">»</w:t>
      </w:r>
      <w:r/>
    </w:p>
    <w:p>
      <w:pPr>
        <w:pStyle w:val="1147"/>
        <w:numPr>
          <w:ilvl w:val="0"/>
          <w:numId w:val="76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«КБК Источники» (</w:t>
      </w:r>
      <w:r>
        <w:t xml:space="preserve">рис. </w:t>
      </w:r>
      <w:r>
        <w:fldChar w:fldCharType="begin"/>
      </w:r>
      <w:r>
        <w:instrText xml:space="preserve"> REF _Ref15397575 \h </w:instrText>
      </w:r>
      <w:r>
        <w:fldChar w:fldCharType="separate"/>
      </w:r>
      <w:r>
        <w:t xml:space="preserve">55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3597275"/>
                <wp:effectExtent l="0" t="0" r="0" b="0"/>
                <wp:docPr id="84" name="Рисунок 13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47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6153149" cy="3597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mso-wrap-distance-left:0.0pt;mso-wrap-distance-top:0.0pt;mso-wrap-distance-right:0.0pt;mso-wrap-distance-bottom:0.0pt;width:484.5pt;height:283.2pt;" stroked="false">
                <v:path textboxrect="0,0,0,0"/>
                <v:imagedata r:id="rId10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18" w:name="_Ref15397575"/>
      <w:r/>
      <w:bookmarkStart w:id="1019" w:name="_Toc15565005"/>
      <w:r/>
      <w:bookmarkStart w:id="1020" w:name="_Toc20229600"/>
      <w:r/>
      <w:bookmarkStart w:id="1021" w:name="_Toc59804510"/>
      <w:r>
        <w:t xml:space="preserve">55</w:t>
      </w:r>
      <w:bookmarkEnd w:id="1018"/>
      <w:r>
        <w:fldChar w:fldCharType="end"/>
      </w:r>
      <w:r>
        <w:t xml:space="preserve">. КБК Источники</w:t>
      </w:r>
      <w:bookmarkEnd w:id="1019"/>
      <w:r/>
      <w:bookmarkEnd w:id="1020"/>
      <w:r/>
      <w:bookmarkEnd w:id="102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КБК;</w:t>
      </w:r>
      <w:r/>
    </w:p>
    <w:p>
      <w:pPr>
        <w:pStyle w:val="976"/>
      </w:pPr>
      <w:r>
        <w:t xml:space="preserve">Наименование КБК;</w:t>
      </w:r>
      <w:r/>
    </w:p>
    <w:p>
      <w:pPr>
        <w:pStyle w:val="976"/>
      </w:pPr>
      <w:r>
        <w:t xml:space="preserve">Тип бюджета;</w:t>
      </w:r>
      <w:r/>
    </w:p>
    <w:p>
      <w:pPr>
        <w:pStyle w:val="976"/>
      </w:pPr>
      <w:r>
        <w:t xml:space="preserve">Дата открытия;</w:t>
      </w:r>
      <w:r/>
    </w:p>
    <w:p>
      <w:pPr>
        <w:pStyle w:val="976"/>
      </w:pPr>
      <w:r>
        <w:t xml:space="preserve">Дата закрытия;</w:t>
      </w:r>
      <w:r/>
    </w:p>
    <w:p>
      <w:pPr>
        <w:pStyle w:val="976"/>
      </w:pPr>
      <w:r>
        <w:t xml:space="preserve">Дата создания;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Статус записи.</w:t>
      </w:r>
      <w:r/>
    </w:p>
    <w:p>
      <w:pPr>
        <w:pStyle w:val="964"/>
      </w:pPr>
      <w:r/>
      <w:bookmarkStart w:id="1022" w:name="_Toc15564776"/>
      <w:r>
        <w:t xml:space="preserve">Справочник «Контрольные сроки обработки документов</w:t>
      </w:r>
      <w:bookmarkEnd w:id="1022"/>
      <w:r>
        <w:t xml:space="preserve">»</w:t>
      </w:r>
      <w:r/>
    </w:p>
    <w:p>
      <w:pPr>
        <w:pStyle w:val="1147"/>
        <w:numPr>
          <w:ilvl w:val="0"/>
          <w:numId w:val="77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«Контрольные сроки обработки документов» (</w:t>
      </w:r>
      <w:r>
        <w:t xml:space="preserve">рис. </w:t>
      </w:r>
      <w:r>
        <w:fldChar w:fldCharType="begin"/>
      </w:r>
      <w:r>
        <w:instrText xml:space="preserve"> REF _Ref15397576 \h </w:instrText>
      </w:r>
      <w:r>
        <w:fldChar w:fldCharType="separate"/>
      </w:r>
      <w:r>
        <w:t xml:space="preserve">56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53150" cy="2792730"/>
                <wp:effectExtent l="0" t="0" r="0" b="0"/>
                <wp:docPr id="85" name="Рисунок 13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48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6153149" cy="2792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mso-wrap-distance-left:0.0pt;mso-wrap-distance-top:0.0pt;mso-wrap-distance-right:0.0pt;mso-wrap-distance-bottom:0.0pt;width:484.5pt;height:219.9pt;" stroked="false">
                <v:path textboxrect="0,0,0,0"/>
                <v:imagedata r:id="rId10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23" w:name="_Ref15397576"/>
      <w:r/>
      <w:bookmarkStart w:id="1024" w:name="_Toc15565006"/>
      <w:r/>
      <w:bookmarkStart w:id="1025" w:name="_Toc20229601"/>
      <w:r/>
      <w:bookmarkStart w:id="1026" w:name="_Toc59804511"/>
      <w:r>
        <w:t xml:space="preserve">56</w:t>
      </w:r>
      <w:bookmarkEnd w:id="1023"/>
      <w:r>
        <w:fldChar w:fldCharType="end"/>
      </w:r>
      <w:r>
        <w:t xml:space="preserve">. Контрольные сроки обработки документов</w:t>
      </w:r>
      <w:bookmarkEnd w:id="1024"/>
      <w:r/>
      <w:bookmarkEnd w:id="1025"/>
      <w:r/>
      <w:bookmarkEnd w:id="102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Пользователь;</w:t>
      </w:r>
      <w:r/>
    </w:p>
    <w:p>
      <w:pPr>
        <w:pStyle w:val="976"/>
      </w:pPr>
      <w:r>
        <w:t xml:space="preserve">Наименование документа;</w:t>
      </w:r>
      <w:r/>
    </w:p>
    <w:p>
      <w:pPr>
        <w:pStyle w:val="976"/>
      </w:pPr>
      <w:r>
        <w:t xml:space="preserve">Системное наименование документа, для которого определяется контрольный срок;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записи.</w:t>
      </w:r>
      <w:r/>
    </w:p>
    <w:p>
      <w:pPr>
        <w:pStyle w:val="964"/>
      </w:pPr>
      <w:r/>
      <w:bookmarkStart w:id="1027" w:name="_Toc15564777"/>
      <w:r>
        <w:t xml:space="preserve">Справочник «Центр компетенции</w:t>
      </w:r>
      <w:bookmarkEnd w:id="1027"/>
      <w:r>
        <w:t xml:space="preserve">»</w:t>
      </w:r>
      <w:r/>
    </w:p>
    <w:p>
      <w:pPr>
        <w:pStyle w:val="1147"/>
        <w:numPr>
          <w:ilvl w:val="0"/>
          <w:numId w:val="78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«Центр компетенции» (</w:t>
      </w:r>
      <w:r>
        <w:t xml:space="preserve">рис. </w:t>
      </w:r>
      <w:r>
        <w:fldChar w:fldCharType="begin"/>
      </w:r>
      <w:r>
        <w:instrText xml:space="preserve"> REF _Ref15561813 \h </w:instrText>
      </w:r>
      <w:r>
        <w:fldChar w:fldCharType="separate"/>
      </w:r>
      <w:r>
        <w:t xml:space="preserve">57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4100" cy="3279140"/>
                <wp:effectExtent l="0" t="0" r="0" b="0"/>
                <wp:docPr id="86" name="Рисунок 13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49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6134100" cy="327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mso-wrap-distance-left:0.0pt;mso-wrap-distance-top:0.0pt;mso-wrap-distance-right:0.0pt;mso-wrap-distance-bottom:0.0pt;width:483.0pt;height:258.2pt;" stroked="false">
                <v:path textboxrect="0,0,0,0"/>
                <v:imagedata r:id="rId10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28" w:name="_Ref15561813"/>
      <w:r/>
      <w:bookmarkStart w:id="1029" w:name="_Toc15565007"/>
      <w:r/>
      <w:bookmarkStart w:id="1030" w:name="_Toc20229602"/>
      <w:r/>
      <w:bookmarkStart w:id="1031" w:name="_Toc59804512"/>
      <w:r>
        <w:t xml:space="preserve">57</w:t>
      </w:r>
      <w:bookmarkEnd w:id="1028"/>
      <w:r>
        <w:fldChar w:fldCharType="end"/>
      </w:r>
      <w:r>
        <w:t xml:space="preserve">. Центр компетенции</w:t>
      </w:r>
      <w:bookmarkEnd w:id="1029"/>
      <w:r/>
      <w:bookmarkEnd w:id="1030"/>
      <w:r/>
      <w:bookmarkEnd w:id="103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Сокращенное наименование организации - ЦК;</w:t>
      </w:r>
      <w:r/>
    </w:p>
    <w:p>
      <w:pPr>
        <w:pStyle w:val="976"/>
      </w:pPr>
      <w:r>
        <w:t xml:space="preserve">Код СвР организации – ЦК;</w:t>
      </w:r>
      <w:r/>
    </w:p>
    <w:p>
      <w:pPr>
        <w:pStyle w:val="976"/>
      </w:pPr>
      <w:r>
        <w:t xml:space="preserve">Полное наименование организации – ЦК;</w:t>
      </w:r>
      <w:r/>
    </w:p>
    <w:p>
      <w:pPr>
        <w:pStyle w:val="976"/>
      </w:pPr>
      <w:r>
        <w:t xml:space="preserve">Код ТОФК – ЦК;</w:t>
      </w:r>
      <w:r/>
    </w:p>
    <w:p>
      <w:pPr>
        <w:pStyle w:val="976"/>
      </w:pPr>
      <w:r>
        <w:t xml:space="preserve">Дата начала действия;</w:t>
      </w:r>
      <w:r/>
    </w:p>
    <w:p>
      <w:pPr>
        <w:pStyle w:val="976"/>
      </w:pPr>
      <w:r>
        <w:t xml:space="preserve">Дата окончания действия.</w:t>
      </w:r>
      <w:r/>
    </w:p>
    <w:p>
      <w:pPr>
        <w:pStyle w:val="964"/>
      </w:pPr>
      <w:r/>
      <w:bookmarkStart w:id="1032" w:name="_Toc15564778"/>
      <w:r>
        <w:t xml:space="preserve">Справочник «Связи документов</w:t>
      </w:r>
      <w:bookmarkEnd w:id="1032"/>
      <w:r>
        <w:t xml:space="preserve">»</w:t>
      </w:r>
      <w:r/>
    </w:p>
    <w:p>
      <w:pPr>
        <w:pStyle w:val="1147"/>
        <w:numPr>
          <w:ilvl w:val="0"/>
          <w:numId w:val="79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«Связи документов» (</w:t>
      </w:r>
      <w:r>
        <w:t xml:space="preserve">рис. </w:t>
      </w:r>
      <w:r>
        <w:fldChar w:fldCharType="begin"/>
      </w:r>
      <w:r>
        <w:instrText xml:space="preserve"> REF _Ref15561837 \h </w:instrText>
      </w:r>
      <w:r>
        <w:fldChar w:fldCharType="separate"/>
      </w:r>
      <w:r>
        <w:t xml:space="preserve">58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62675" cy="2731135"/>
                <wp:effectExtent l="0" t="0" r="0" b="0"/>
                <wp:docPr id="87" name="Рисунок 13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50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6162675" cy="2731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mso-wrap-distance-left:0.0pt;mso-wrap-distance-top:0.0pt;mso-wrap-distance-right:0.0pt;mso-wrap-distance-bottom:0.0pt;width:485.2pt;height:215.0pt;" stroked="false">
                <v:path textboxrect="0,0,0,0"/>
                <v:imagedata r:id="rId105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33" w:name="_Ref15561837"/>
      <w:r/>
      <w:bookmarkStart w:id="1034" w:name="_Toc15565008"/>
      <w:r/>
      <w:bookmarkStart w:id="1035" w:name="_Toc20229603"/>
      <w:r/>
      <w:bookmarkStart w:id="1036" w:name="_Toc59804513"/>
      <w:r>
        <w:t xml:space="preserve">58</w:t>
      </w:r>
      <w:bookmarkEnd w:id="1033"/>
      <w:r>
        <w:fldChar w:fldCharType="end"/>
      </w:r>
      <w:r>
        <w:t xml:space="preserve">. Связи документов</w:t>
      </w:r>
      <w:bookmarkEnd w:id="1034"/>
      <w:r/>
      <w:bookmarkEnd w:id="1035"/>
      <w:r/>
      <w:bookmarkEnd w:id="103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Системный тип основного документа;</w:t>
      </w:r>
      <w:r/>
    </w:p>
    <w:p>
      <w:pPr>
        <w:pStyle w:val="976"/>
      </w:pPr>
      <w:r>
        <w:t xml:space="preserve">Наименование основного документа;</w:t>
      </w:r>
      <w:r/>
    </w:p>
    <w:p>
      <w:pPr>
        <w:pStyle w:val="976"/>
      </w:pPr>
      <w:r>
        <w:t xml:space="preserve">Системный тип связанного документа;</w:t>
      </w:r>
      <w:r/>
    </w:p>
    <w:p>
      <w:pPr>
        <w:pStyle w:val="976"/>
      </w:pPr>
      <w:r>
        <w:t xml:space="preserve">Наименование связанного документа;</w:t>
      </w:r>
      <w:r/>
    </w:p>
    <w:p>
      <w:pPr>
        <w:pStyle w:val="976"/>
      </w:pPr>
      <w:r>
        <w:t xml:space="preserve">Поле Идентификатора связанного документа.</w:t>
      </w:r>
      <w:r/>
    </w:p>
    <w:p>
      <w:pPr>
        <w:pStyle w:val="964"/>
      </w:pPr>
      <w:r/>
      <w:bookmarkStart w:id="1037" w:name="_Toc15564779"/>
      <w:r>
        <w:t xml:space="preserve">Справочник «Список организаций, которым не доступны функции формирования документов в ЕИС</w:t>
      </w:r>
      <w:bookmarkEnd w:id="1037"/>
      <w:r>
        <w:t xml:space="preserve">»</w:t>
      </w:r>
      <w:r/>
    </w:p>
    <w:p>
      <w:pPr>
        <w:pStyle w:val="1147"/>
        <w:numPr>
          <w:ilvl w:val="0"/>
          <w:numId w:val="80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«Список организаций, которым не доступны функции формирования документов в ЕИС» (</w:t>
      </w:r>
      <w:r>
        <w:t xml:space="preserve">рис. </w:t>
      </w:r>
      <w:r>
        <w:fldChar w:fldCharType="begin"/>
      </w:r>
      <w:r>
        <w:instrText xml:space="preserve"> REF _Ref15561864 \h </w:instrText>
      </w:r>
      <w:r>
        <w:fldChar w:fldCharType="separate"/>
      </w:r>
      <w:r>
        <w:t xml:space="preserve">59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497455"/>
                <wp:effectExtent l="0" t="0" r="0" b="0"/>
                <wp:docPr id="88" name="Рисунок 13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5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6124575" cy="2497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mso-wrap-distance-left:0.0pt;mso-wrap-distance-top:0.0pt;mso-wrap-distance-right:0.0pt;mso-wrap-distance-bottom:0.0pt;width:482.2pt;height:196.6pt;" stroked="false">
                <v:path textboxrect="0,0,0,0"/>
                <v:imagedata r:id="rId106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38" w:name="_Ref15561864"/>
      <w:r/>
      <w:bookmarkStart w:id="1039" w:name="_Toc15565009"/>
      <w:r/>
      <w:bookmarkStart w:id="1040" w:name="_Toc20229604"/>
      <w:r/>
      <w:bookmarkStart w:id="1041" w:name="_Toc59804514"/>
      <w:r>
        <w:t xml:space="preserve">59</w:t>
      </w:r>
      <w:bookmarkEnd w:id="1038"/>
      <w:r>
        <w:fldChar w:fldCharType="end"/>
      </w:r>
      <w:r>
        <w:t xml:space="preserve">. Список организаций, которым не доступны функции формирования документов в ЕИС</w:t>
      </w:r>
      <w:bookmarkEnd w:id="1039"/>
      <w:r/>
      <w:bookmarkEnd w:id="1040"/>
      <w:r/>
      <w:bookmarkEnd w:id="104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Дата создания записи;</w:t>
      </w:r>
      <w:r/>
    </w:p>
    <w:p>
      <w:pPr>
        <w:pStyle w:val="976"/>
      </w:pPr>
      <w:r>
        <w:t xml:space="preserve">Дата начала действия;</w:t>
      </w:r>
      <w:r/>
    </w:p>
    <w:p>
      <w:pPr>
        <w:pStyle w:val="976"/>
      </w:pPr>
      <w:r>
        <w:t xml:space="preserve">Дата окончания действия;</w:t>
      </w:r>
      <w:r/>
    </w:p>
    <w:p>
      <w:pPr>
        <w:pStyle w:val="976"/>
      </w:pPr>
      <w:r>
        <w:t xml:space="preserve">Тип документа;</w:t>
      </w:r>
      <w:r/>
    </w:p>
    <w:p>
      <w:pPr>
        <w:pStyle w:val="976"/>
      </w:pPr>
      <w:r>
        <w:t xml:space="preserve">Код по Сводному реестру ПБС;</w:t>
      </w:r>
      <w:r/>
    </w:p>
    <w:p>
      <w:pPr>
        <w:pStyle w:val="976"/>
      </w:pPr>
      <w:r>
        <w:t xml:space="preserve">Наименование ПБС по Сводному реестру.</w:t>
      </w:r>
      <w:r/>
    </w:p>
    <w:p>
      <w:pPr>
        <w:pStyle w:val="964"/>
      </w:pPr>
      <w:r/>
      <w:bookmarkStart w:id="1042" w:name="_Toc15564780"/>
      <w:r>
        <w:t xml:space="preserve">Справочник «Соответствие типов БС и ЛС</w:t>
      </w:r>
      <w:bookmarkEnd w:id="1042"/>
      <w:r>
        <w:t xml:space="preserve">»</w:t>
      </w:r>
      <w:r/>
    </w:p>
    <w:p>
      <w:pPr>
        <w:pStyle w:val="1147"/>
        <w:numPr>
          <w:ilvl w:val="0"/>
          <w:numId w:val="81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«Соответствие типов БС и ЛС» (</w:t>
      </w:r>
      <w:r>
        <w:t xml:space="preserve">рис. </w:t>
      </w:r>
      <w:r>
        <w:fldChar w:fldCharType="begin"/>
      </w:r>
      <w:r>
        <w:instrText xml:space="preserve"> REF _Ref15561889 \h </w:instrText>
      </w:r>
      <w:r>
        <w:fldChar w:fldCharType="separate"/>
      </w:r>
      <w:r>
        <w:t xml:space="preserve">60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957830"/>
                <wp:effectExtent l="0" t="0" r="0" b="0"/>
                <wp:docPr id="89" name="Рисунок 13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52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6124575" cy="2957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mso-wrap-distance-left:0.0pt;mso-wrap-distance-top:0.0pt;mso-wrap-distance-right:0.0pt;mso-wrap-distance-bottom:0.0pt;width:482.2pt;height:232.9pt;" stroked="false">
                <v:path textboxrect="0,0,0,0"/>
                <v:imagedata r:id="rId107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43" w:name="_Ref15561889"/>
      <w:r/>
      <w:bookmarkStart w:id="1044" w:name="_Toc15565010"/>
      <w:r/>
      <w:bookmarkStart w:id="1045" w:name="_Toc20229605"/>
      <w:r/>
      <w:bookmarkStart w:id="1046" w:name="_Toc59804515"/>
      <w:r>
        <w:t xml:space="preserve">60</w:t>
      </w:r>
      <w:bookmarkEnd w:id="1043"/>
      <w:r>
        <w:fldChar w:fldCharType="end"/>
      </w:r>
      <w:r>
        <w:t xml:space="preserve">. Соответствие типов БС и ЛС</w:t>
      </w:r>
      <w:bookmarkEnd w:id="1044"/>
      <w:r/>
      <w:bookmarkEnd w:id="1045"/>
      <w:r/>
      <w:bookmarkEnd w:id="104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типа банковского счета;</w:t>
      </w:r>
      <w:r/>
    </w:p>
    <w:p>
      <w:pPr>
        <w:pStyle w:val="976"/>
      </w:pPr>
      <w:r>
        <w:t xml:space="preserve">Код типа лицевого счета;</w:t>
      </w:r>
      <w:r/>
    </w:p>
    <w:p>
      <w:pPr>
        <w:pStyle w:val="976"/>
      </w:pPr>
      <w:r>
        <w:t xml:space="preserve">Признак сравнения кода бюджета;</w:t>
      </w:r>
      <w:r/>
    </w:p>
    <w:p>
      <w:pPr>
        <w:pStyle w:val="976"/>
      </w:pPr>
      <w:r>
        <w:t xml:space="preserve">Тип операции сравнения кода бюджета;</w:t>
      </w:r>
      <w:r/>
    </w:p>
    <w:p>
      <w:pPr>
        <w:pStyle w:val="976"/>
      </w:pPr>
      <w:r>
        <w:t xml:space="preserve">Код бюджета (строка);</w:t>
      </w:r>
      <w:r/>
    </w:p>
    <w:p>
      <w:pPr>
        <w:pStyle w:val="976"/>
      </w:pPr>
      <w:r>
        <w:t xml:space="preserve">Признак сравнения кода ТОФК;</w:t>
      </w:r>
      <w:r/>
    </w:p>
    <w:p>
      <w:pPr>
        <w:pStyle w:val="976"/>
      </w:pPr>
      <w:r>
        <w:t xml:space="preserve">Тип операции сравнения кода ТОФК;</w:t>
      </w:r>
      <w:r/>
    </w:p>
    <w:p>
      <w:pPr>
        <w:pStyle w:val="976"/>
      </w:pPr>
      <w:r>
        <w:t xml:space="preserve">Код ТОФК (строка);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последнего изменения записи;</w:t>
      </w:r>
      <w:r/>
    </w:p>
    <w:p>
      <w:pPr>
        <w:pStyle w:val="976"/>
      </w:pPr>
      <w:r>
        <w:t xml:space="preserve">Дата окончания действия записи;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ГУИД заявки на создание;</w:t>
      </w:r>
      <w:r/>
    </w:p>
    <w:p>
      <w:pPr>
        <w:pStyle w:val="976"/>
      </w:pPr>
      <w:r>
        <w:t xml:space="preserve">ГУИД заявки на изменение;</w:t>
      </w:r>
      <w:r/>
    </w:p>
    <w:p>
      <w:pPr>
        <w:pStyle w:val="976"/>
      </w:pPr>
      <w:r>
        <w:t xml:space="preserve">Признак ПИМ.</w:t>
      </w:r>
      <w:r/>
    </w:p>
    <w:p>
      <w:pPr>
        <w:pStyle w:val="964"/>
      </w:pPr>
      <w:r/>
      <w:bookmarkStart w:id="1047" w:name="_Toc15564781"/>
      <w:r>
        <w:t xml:space="preserve">Справочник «Банковские счета ФК</w:t>
      </w:r>
      <w:bookmarkEnd w:id="1047"/>
      <w:r>
        <w:t xml:space="preserve">»</w:t>
      </w:r>
      <w:r/>
    </w:p>
    <w:p>
      <w:pPr>
        <w:pStyle w:val="1147"/>
        <w:numPr>
          <w:ilvl w:val="0"/>
          <w:numId w:val="82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«Банковские счета ФК» (</w:t>
      </w:r>
      <w:r>
        <w:t xml:space="preserve">рис. </w:t>
      </w:r>
      <w:r>
        <w:fldChar w:fldCharType="begin"/>
      </w:r>
      <w:r>
        <w:instrText xml:space="preserve"> REF _Ref15561911 \h </w:instrText>
      </w:r>
      <w:r>
        <w:fldChar w:fldCharType="separate"/>
      </w:r>
      <w:r>
        <w:t xml:space="preserve">61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76950" cy="2214880"/>
                <wp:effectExtent l="0" t="0" r="0" b="0"/>
                <wp:docPr id="90" name="Рисунок 14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5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6076950" cy="2214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mso-wrap-distance-left:0.0pt;mso-wrap-distance-top:0.0pt;mso-wrap-distance-right:0.0pt;mso-wrap-distance-bottom:0.0pt;width:478.5pt;height:174.4pt;" stroked="false">
                <v:path textboxrect="0,0,0,0"/>
                <v:imagedata r:id="rId108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48" w:name="_Ref15561911"/>
      <w:r/>
      <w:bookmarkStart w:id="1049" w:name="_Toc15565011"/>
      <w:r/>
      <w:bookmarkStart w:id="1050" w:name="_Toc20229606"/>
      <w:r/>
      <w:bookmarkStart w:id="1051" w:name="_Toc59804516"/>
      <w:r>
        <w:t xml:space="preserve">61</w:t>
      </w:r>
      <w:bookmarkEnd w:id="1048"/>
      <w:r>
        <w:fldChar w:fldCharType="end"/>
      </w:r>
      <w:r>
        <w:t xml:space="preserve">. Банковские счета ФК</w:t>
      </w:r>
      <w:bookmarkEnd w:id="1049"/>
      <w:r/>
      <w:bookmarkEnd w:id="1050"/>
      <w:r/>
      <w:bookmarkEnd w:id="105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Дата открытия счета;</w:t>
      </w:r>
      <w:r/>
    </w:p>
    <w:p>
      <w:pPr>
        <w:pStyle w:val="976"/>
      </w:pPr>
      <w:r>
        <w:t xml:space="preserve">Дата закрытия счета;</w:t>
      </w:r>
      <w:r/>
    </w:p>
    <w:p>
      <w:pPr>
        <w:pStyle w:val="976"/>
      </w:pPr>
      <w:r>
        <w:t xml:space="preserve">Дата последнего изменения записи;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Наименование ТОФК;</w:t>
      </w:r>
      <w:r/>
    </w:p>
    <w:p>
      <w:pPr>
        <w:pStyle w:val="976"/>
      </w:pPr>
      <w:r>
        <w:t xml:space="preserve">БИК;</w:t>
      </w:r>
      <w:r/>
    </w:p>
    <w:p>
      <w:pPr>
        <w:pStyle w:val="976"/>
      </w:pPr>
      <w:r>
        <w:t xml:space="preserve">Номер банковского счета;</w:t>
      </w:r>
      <w:r/>
    </w:p>
    <w:p>
      <w:pPr>
        <w:pStyle w:val="976"/>
      </w:pPr>
      <w:r>
        <w:t xml:space="preserve">Корреспондентский счет;</w:t>
      </w:r>
      <w:r/>
    </w:p>
    <w:p>
      <w:pPr>
        <w:pStyle w:val="976"/>
      </w:pPr>
      <w:r>
        <w:t xml:space="preserve">Платежное наименование банка;</w:t>
      </w:r>
      <w:r/>
    </w:p>
    <w:p>
      <w:pPr>
        <w:pStyle w:val="976"/>
      </w:pPr>
      <w:r>
        <w:t xml:space="preserve">Код валюты счета;</w:t>
      </w:r>
      <w:r/>
    </w:p>
    <w:p>
      <w:pPr>
        <w:pStyle w:val="976"/>
      </w:pPr>
      <w:r>
        <w:t xml:space="preserve">Наименование валюты;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Наименование бюджета;</w:t>
      </w:r>
      <w:r/>
    </w:p>
    <w:p>
      <w:pPr>
        <w:pStyle w:val="976"/>
      </w:pPr>
      <w:r>
        <w:t xml:space="preserve">Наименование типа банковского счета;</w:t>
      </w:r>
      <w:r/>
    </w:p>
    <w:p>
      <w:pPr>
        <w:pStyle w:val="976"/>
      </w:pPr>
      <w:r>
        <w:t xml:space="preserve">Код типа банковского счета;</w:t>
      </w:r>
      <w:r/>
    </w:p>
    <w:p>
      <w:pPr>
        <w:pStyle w:val="976"/>
      </w:pPr>
      <w:r>
        <w:t xml:space="preserve">Код вида средств;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Дата включения записи;</w:t>
      </w:r>
      <w:r/>
    </w:p>
    <w:p>
      <w:pPr>
        <w:pStyle w:val="976"/>
      </w:pPr>
      <w:r>
        <w:t xml:space="preserve">Дата исключения записи.</w:t>
      </w:r>
      <w:r/>
    </w:p>
    <w:p>
      <w:pPr>
        <w:pStyle w:val="964"/>
      </w:pPr>
      <w:r/>
      <w:bookmarkStart w:id="1052" w:name="_Toc15564782"/>
      <w:r>
        <w:t xml:space="preserve">Справочник «Российские банки</w:t>
      </w:r>
      <w:bookmarkEnd w:id="1052"/>
      <w:r>
        <w:t xml:space="preserve">»</w:t>
      </w:r>
      <w:r/>
    </w:p>
    <w:p>
      <w:pPr>
        <w:pStyle w:val="1147"/>
        <w:numPr>
          <w:ilvl w:val="0"/>
          <w:numId w:val="83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«Российские банки» (</w:t>
      </w:r>
      <w:r>
        <w:t xml:space="preserve">рис. </w:t>
      </w:r>
      <w:r>
        <w:fldChar w:fldCharType="begin"/>
      </w:r>
      <w:r>
        <w:instrText xml:space="preserve"> REF _Ref15561936 \h </w:instrText>
      </w:r>
      <w:r>
        <w:fldChar w:fldCharType="separate"/>
      </w:r>
      <w:r>
        <w:t xml:space="preserve">62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3091815"/>
                <wp:effectExtent l="0" t="0" r="0" b="0"/>
                <wp:docPr id="91" name="Рисунок 14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54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6124575" cy="3091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mso-wrap-distance-left:0.0pt;mso-wrap-distance-top:0.0pt;mso-wrap-distance-right:0.0pt;mso-wrap-distance-bottom:0.0pt;width:482.2pt;height:243.4pt;" stroked="false">
                <v:path textboxrect="0,0,0,0"/>
                <v:imagedata r:id="rId109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53" w:name="_Ref15561936"/>
      <w:r/>
      <w:bookmarkStart w:id="1054" w:name="_Toc15565012"/>
      <w:r/>
      <w:bookmarkStart w:id="1055" w:name="_Toc20229607"/>
      <w:r/>
      <w:bookmarkStart w:id="1056" w:name="_Toc59804517"/>
      <w:r>
        <w:t xml:space="preserve">62</w:t>
      </w:r>
      <w:bookmarkEnd w:id="1053"/>
      <w:r>
        <w:fldChar w:fldCharType="end"/>
      </w:r>
      <w:r>
        <w:t xml:space="preserve">. Российские банки</w:t>
      </w:r>
      <w:bookmarkEnd w:id="1054"/>
      <w:r/>
      <w:bookmarkEnd w:id="1055"/>
      <w:r/>
      <w:bookmarkEnd w:id="105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БИК;</w:t>
      </w:r>
      <w:r/>
    </w:p>
    <w:p>
      <w:pPr>
        <w:pStyle w:val="976"/>
      </w:pPr>
      <w:r>
        <w:t xml:space="preserve">Полное наименование банка;</w:t>
      </w:r>
      <w:r/>
    </w:p>
    <w:p>
      <w:pPr>
        <w:pStyle w:val="976"/>
      </w:pPr>
      <w:r>
        <w:t xml:space="preserve">Корреспондентский счет;</w:t>
      </w:r>
      <w:r/>
    </w:p>
    <w:p>
      <w:pPr>
        <w:pStyle w:val="976"/>
      </w:pPr>
      <w:r>
        <w:t xml:space="preserve">Наименование субъекта РФ;</w:t>
      </w:r>
      <w:r/>
    </w:p>
    <w:p>
      <w:pPr>
        <w:pStyle w:val="976"/>
      </w:pPr>
      <w:r>
        <w:t xml:space="preserve">Улица;</w:t>
      </w:r>
      <w:r/>
    </w:p>
    <w:p>
      <w:pPr>
        <w:pStyle w:val="976"/>
      </w:pPr>
      <w:r>
        <w:t xml:space="preserve">Город;</w:t>
      </w:r>
      <w:r/>
    </w:p>
    <w:p>
      <w:pPr>
        <w:pStyle w:val="976"/>
      </w:pPr>
      <w:r>
        <w:t xml:space="preserve">Индекс;</w:t>
      </w:r>
      <w:r/>
    </w:p>
    <w:p>
      <w:pPr>
        <w:pStyle w:val="976"/>
      </w:pPr>
      <w:r>
        <w:t xml:space="preserve">Дата включения;</w:t>
      </w:r>
      <w:r/>
    </w:p>
    <w:p>
      <w:pPr>
        <w:pStyle w:val="976"/>
      </w:pPr>
      <w:r>
        <w:t xml:space="preserve">Дата изменения;</w:t>
      </w:r>
      <w:r/>
    </w:p>
    <w:p>
      <w:pPr>
        <w:pStyle w:val="976"/>
      </w:pPr>
      <w:r>
        <w:t xml:space="preserve">Гуид;</w:t>
      </w:r>
      <w:r/>
    </w:p>
    <w:p>
      <w:pPr>
        <w:pStyle w:val="976"/>
      </w:pPr>
      <w:r>
        <w:t xml:space="preserve">Дата начала действия записи;</w:t>
      </w:r>
      <w:r/>
    </w:p>
    <w:p>
      <w:pPr>
        <w:pStyle w:val="976"/>
      </w:pPr>
      <w:r>
        <w:t xml:space="preserve">Дата окончания действия записи;</w:t>
      </w:r>
      <w:r/>
    </w:p>
    <w:p>
      <w:pPr>
        <w:pStyle w:val="976"/>
      </w:pPr>
      <w:r>
        <w:t xml:space="preserve">Статус записи.</w:t>
      </w:r>
      <w:r/>
    </w:p>
    <w:p>
      <w:pPr>
        <w:pStyle w:val="964"/>
      </w:pPr>
      <w:r/>
      <w:bookmarkStart w:id="1057" w:name="_Toc15564783"/>
      <w:r>
        <w:t xml:space="preserve">Справочник «Соответствие Центров Специализации и Расчетных Центров при казначейском сопровождении</w:t>
      </w:r>
      <w:bookmarkEnd w:id="1057"/>
      <w:r>
        <w:t xml:space="preserve">»</w:t>
      </w:r>
      <w:r/>
    </w:p>
    <w:p>
      <w:pPr>
        <w:pStyle w:val="1147"/>
        <w:numPr>
          <w:ilvl w:val="0"/>
          <w:numId w:val="84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«Соответствие Центров Специализации и Расчетных Центров при казначейском сопровождении» (</w:t>
      </w:r>
      <w:r>
        <w:t xml:space="preserve">рис. </w:t>
      </w:r>
      <w:r>
        <w:fldChar w:fldCharType="begin"/>
      </w:r>
      <w:r>
        <w:instrText xml:space="preserve"> REF _Ref15561961 \h </w:instrText>
      </w:r>
      <w:r>
        <w:fldChar w:fldCharType="separate"/>
      </w:r>
      <w:r>
        <w:t xml:space="preserve">63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43625" cy="1622425"/>
                <wp:effectExtent l="0" t="0" r="0" b="0"/>
                <wp:docPr id="92" name="Рисунок 14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55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6143625" cy="1622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mso-wrap-distance-left:0.0pt;mso-wrap-distance-top:0.0pt;mso-wrap-distance-right:0.0pt;mso-wrap-distance-bottom:0.0pt;width:483.8pt;height:127.8pt;" stroked="false">
                <v:path textboxrect="0,0,0,0"/>
                <v:imagedata r:id="rId11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58" w:name="_Ref15561961"/>
      <w:r/>
      <w:bookmarkStart w:id="1059" w:name="_Toc15565013"/>
      <w:r/>
      <w:bookmarkStart w:id="1060" w:name="_Toc20229608"/>
      <w:r/>
      <w:bookmarkStart w:id="1061" w:name="_Toc59804518"/>
      <w:r>
        <w:t xml:space="preserve">63</w:t>
      </w:r>
      <w:bookmarkEnd w:id="1058"/>
      <w:r>
        <w:fldChar w:fldCharType="end"/>
      </w:r>
      <w:r>
        <w:t xml:space="preserve">. Соответствие Центров Специализации и Расчетных Центров при казначейском сопровождении</w:t>
      </w:r>
      <w:bookmarkEnd w:id="1059"/>
      <w:r/>
      <w:bookmarkEnd w:id="1060"/>
      <w:r/>
      <w:bookmarkEnd w:id="106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ЦС;</w:t>
      </w:r>
      <w:r/>
    </w:p>
    <w:p>
      <w:pPr>
        <w:pStyle w:val="976"/>
      </w:pPr>
      <w:r>
        <w:t xml:space="preserve">Наименование ЦС;</w:t>
      </w:r>
      <w:r/>
    </w:p>
    <w:p>
      <w:pPr>
        <w:pStyle w:val="976"/>
      </w:pPr>
      <w:r>
        <w:t xml:space="preserve">Код РЦ;</w:t>
      </w:r>
      <w:r/>
    </w:p>
    <w:p>
      <w:pPr>
        <w:pStyle w:val="976"/>
      </w:pPr>
      <w:r>
        <w:t xml:space="preserve">Наименование РЦ;</w:t>
      </w:r>
      <w:r/>
    </w:p>
    <w:p>
      <w:pPr>
        <w:pStyle w:val="976"/>
      </w:pPr>
      <w:r>
        <w:t xml:space="preserve">Тип л/с;</w:t>
      </w:r>
      <w:r/>
    </w:p>
    <w:p>
      <w:pPr>
        <w:pStyle w:val="976"/>
      </w:pPr>
      <w:r>
        <w:t xml:space="preserve">Статус.</w:t>
      </w:r>
      <w:r/>
    </w:p>
    <w:p>
      <w:pPr>
        <w:pStyle w:val="964"/>
      </w:pPr>
      <w:r/>
      <w:bookmarkStart w:id="1062" w:name="_Toc15564784"/>
      <w:r>
        <w:t xml:space="preserve">Справочник «Соответствие банковского счета ТОФК (40116) организации, включенной в Сводный реестр</w:t>
      </w:r>
      <w:bookmarkEnd w:id="1062"/>
      <w:r>
        <w:t xml:space="preserve">»</w:t>
      </w:r>
      <w:r/>
    </w:p>
    <w:p>
      <w:pPr>
        <w:pStyle w:val="1147"/>
        <w:numPr>
          <w:ilvl w:val="0"/>
          <w:numId w:val="85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«Соответствие банковского счета ТОФК (40116) организации, включенной в Сводный реестр» (</w:t>
      </w:r>
      <w:r>
        <w:t xml:space="preserve">рис. </w:t>
      </w:r>
      <w:r>
        <w:fldChar w:fldCharType="begin"/>
      </w:r>
      <w:r>
        <w:instrText xml:space="preserve"> REF _Ref15562008 \h </w:instrText>
      </w:r>
      <w:r>
        <w:fldChar w:fldCharType="separate"/>
      </w:r>
      <w:r>
        <w:t xml:space="preserve">64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05525" cy="2072005"/>
                <wp:effectExtent l="0" t="0" r="0" b="0"/>
                <wp:docPr id="93" name="Рисунок 14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56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6105525" cy="20720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mso-wrap-distance-left:0.0pt;mso-wrap-distance-top:0.0pt;mso-wrap-distance-right:0.0pt;mso-wrap-distance-bottom:0.0pt;width:480.8pt;height:163.2pt;" stroked="false">
                <v:path textboxrect="0,0,0,0"/>
                <v:imagedata r:id="rId11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63" w:name="_Ref15562008"/>
      <w:r/>
      <w:bookmarkStart w:id="1064" w:name="_Toc15565014"/>
      <w:r/>
      <w:bookmarkStart w:id="1065" w:name="_Toc20229609"/>
      <w:r/>
      <w:bookmarkStart w:id="1066" w:name="_Toc59804519"/>
      <w:r>
        <w:t xml:space="preserve">64</w:t>
      </w:r>
      <w:bookmarkEnd w:id="1063"/>
      <w:r>
        <w:fldChar w:fldCharType="end"/>
      </w:r>
      <w:r>
        <w:t xml:space="preserve">. Соответствие банковского счета ТОФК (40116) организации, включенной в Сводный реестр</w:t>
      </w:r>
      <w:bookmarkEnd w:id="1064"/>
      <w:r/>
      <w:bookmarkEnd w:id="1065"/>
      <w:r/>
      <w:bookmarkEnd w:id="1066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Код организации по СвР;</w:t>
      </w:r>
      <w:r/>
    </w:p>
    <w:p>
      <w:pPr>
        <w:pStyle w:val="976"/>
      </w:pPr>
      <w:r>
        <w:t xml:space="preserve">Код организации по СвР передавшей полномочия;</w:t>
      </w:r>
      <w:r/>
    </w:p>
    <w:p>
      <w:pPr>
        <w:pStyle w:val="976"/>
      </w:pPr>
      <w:r>
        <w:t xml:space="preserve">Дата включения записи;</w:t>
      </w:r>
      <w:r/>
    </w:p>
    <w:p>
      <w:pPr>
        <w:pStyle w:val="976"/>
      </w:pPr>
      <w:r>
        <w:t xml:space="preserve">Дата последнего изменения записи;</w:t>
      </w:r>
      <w:r/>
    </w:p>
    <w:p>
      <w:pPr>
        <w:pStyle w:val="976"/>
      </w:pPr>
      <w:r>
        <w:t xml:space="preserve">Дата исключения записи;</w:t>
      </w:r>
      <w:r/>
    </w:p>
    <w:p>
      <w:pPr>
        <w:pStyle w:val="976"/>
      </w:pPr>
      <w:r>
        <w:t xml:space="preserve">Статус записи;</w:t>
      </w:r>
      <w:r/>
    </w:p>
    <w:p>
      <w:pPr>
        <w:pStyle w:val="976"/>
      </w:pPr>
      <w:r>
        <w:t xml:space="preserve">Глобально уникальный идентификатор записи заявки.</w:t>
      </w:r>
      <w:r/>
    </w:p>
    <w:p>
      <w:pPr>
        <w:pStyle w:val="964"/>
      </w:pPr>
      <w:r/>
      <w:bookmarkStart w:id="1067" w:name="_Toc15564785"/>
      <w:r>
        <w:t xml:space="preserve">Справочник «Банковские карты</w:t>
      </w:r>
      <w:bookmarkEnd w:id="1067"/>
      <w:r>
        <w:t xml:space="preserve">»</w:t>
      </w:r>
      <w:r/>
    </w:p>
    <w:p>
      <w:pPr>
        <w:pStyle w:val="1147"/>
        <w:numPr>
          <w:ilvl w:val="0"/>
          <w:numId w:val="86"/>
        </w:numPr>
      </w:pPr>
      <w:r>
        <w:t xml:space="preserve">На панели «Меню» выбрать «Управление расходами».</w:t>
      </w:r>
      <w:r/>
    </w:p>
    <w:p>
      <w:pPr>
        <w:pStyle w:val="1147"/>
        <w:numPr>
          <w:ilvl w:val="0"/>
          <w:numId w:val="1"/>
        </w:numPr>
      </w:pPr>
      <w:r>
        <w:t xml:space="preserve">Далее на вкладке «Формуляры», перемещаясь по дереву навигации, развернуть ветку «Справочники».</w:t>
      </w:r>
      <w:r/>
    </w:p>
    <w:p>
      <w:pPr>
        <w:pStyle w:val="1147"/>
        <w:numPr>
          <w:ilvl w:val="0"/>
          <w:numId w:val="1"/>
        </w:numPr>
      </w:pPr>
      <w:r>
        <w:t xml:space="preserve">Выбрать справочник «Банковские карты» (</w:t>
      </w:r>
      <w:r>
        <w:t xml:space="preserve">рис. </w:t>
      </w:r>
      <w:r>
        <w:fldChar w:fldCharType="begin"/>
      </w:r>
      <w:r>
        <w:instrText xml:space="preserve"> REF _Ref15562034 \h </w:instrText>
      </w:r>
      <w:r>
        <w:fldChar w:fldCharType="separate"/>
      </w:r>
      <w:r>
        <w:t xml:space="preserve">65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96000" cy="2360930"/>
                <wp:effectExtent l="0" t="0" r="0" b="0"/>
                <wp:docPr id="94" name="Рисунок 14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57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6096000" cy="23609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mso-wrap-distance-left:0.0pt;mso-wrap-distance-top:0.0pt;mso-wrap-distance-right:0.0pt;mso-wrap-distance-bottom:0.0pt;width:480.0pt;height:185.9pt;" stroked="false">
                <v:path textboxrect="0,0,0,0"/>
                <v:imagedata r:id="rId11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68" w:name="_Ref15562034"/>
      <w:r/>
      <w:bookmarkStart w:id="1069" w:name="_Toc15565015"/>
      <w:r/>
      <w:bookmarkStart w:id="1070" w:name="_Toc20229610"/>
      <w:r/>
      <w:bookmarkStart w:id="1071" w:name="_Toc59804520"/>
      <w:r>
        <w:t xml:space="preserve">65</w:t>
      </w:r>
      <w:bookmarkEnd w:id="1068"/>
      <w:r>
        <w:fldChar w:fldCharType="end"/>
      </w:r>
      <w:r>
        <w:t xml:space="preserve">. Банковские карты</w:t>
      </w:r>
      <w:bookmarkEnd w:id="1069"/>
      <w:r/>
      <w:bookmarkEnd w:id="1070"/>
      <w:r/>
      <w:bookmarkEnd w:id="1071"/>
      <w:r/>
      <w:r/>
    </w:p>
    <w:p>
      <w:pPr>
        <w:pStyle w:val="985"/>
      </w:pPr>
      <w:r>
        <w:t xml:space="preserve">Перечень полей, присутствующих в справочнике по умолчанию:</w:t>
      </w:r>
      <w:r/>
    </w:p>
    <w:p>
      <w:pPr>
        <w:pStyle w:val="976"/>
      </w:pPr>
      <w:r>
        <w:t xml:space="preserve">Номер карты;</w:t>
      </w:r>
      <w:r/>
    </w:p>
    <w:p>
      <w:pPr>
        <w:pStyle w:val="976"/>
      </w:pPr>
      <w:r>
        <w:t xml:space="preserve">Срок действия;</w:t>
      </w:r>
      <w:r/>
    </w:p>
    <w:p>
      <w:pPr>
        <w:pStyle w:val="976"/>
      </w:pPr>
      <w:r>
        <w:t xml:space="preserve">Состояние банковской карты;</w:t>
      </w:r>
      <w:r/>
    </w:p>
    <w:p>
      <w:pPr>
        <w:pStyle w:val="976"/>
      </w:pPr>
      <w:r>
        <w:t xml:space="preserve">Платежная система;</w:t>
      </w:r>
      <w:r/>
    </w:p>
    <w:p>
      <w:pPr>
        <w:pStyle w:val="976"/>
      </w:pPr>
      <w:r>
        <w:t xml:space="preserve">Номер счета;</w:t>
      </w:r>
      <w:r/>
    </w:p>
    <w:p>
      <w:pPr>
        <w:pStyle w:val="976"/>
      </w:pPr>
      <w:r>
        <w:t xml:space="preserve">БИК;</w:t>
      </w:r>
      <w:r/>
    </w:p>
    <w:p>
      <w:pPr>
        <w:pStyle w:val="976"/>
      </w:pPr>
      <w:r>
        <w:t xml:space="preserve">Корреспондентский счет;</w:t>
      </w:r>
      <w:r/>
    </w:p>
    <w:p>
      <w:pPr>
        <w:pStyle w:val="976"/>
      </w:pPr>
      <w:r>
        <w:t xml:space="preserve">Наименование банка;</w:t>
      </w:r>
      <w:r/>
    </w:p>
    <w:p>
      <w:pPr>
        <w:pStyle w:val="976"/>
      </w:pPr>
      <w:r>
        <w:t xml:space="preserve">Код бюджета;</w:t>
      </w:r>
      <w:r/>
    </w:p>
    <w:p>
      <w:pPr>
        <w:pStyle w:val="976"/>
      </w:pPr>
      <w:r>
        <w:t xml:space="preserve">Код ТОФК;</w:t>
      </w:r>
      <w:r/>
    </w:p>
    <w:p>
      <w:pPr>
        <w:pStyle w:val="976"/>
      </w:pPr>
      <w:r>
        <w:t xml:space="preserve">Код по Сводному реестру/реестру ИП и КФХ;</w:t>
      </w:r>
      <w:r/>
    </w:p>
    <w:p>
      <w:pPr>
        <w:pStyle w:val="976"/>
      </w:pPr>
      <w:r>
        <w:t xml:space="preserve">Наименование;</w:t>
      </w:r>
      <w:r/>
    </w:p>
    <w:p>
      <w:pPr>
        <w:pStyle w:val="976"/>
      </w:pPr>
      <w:r>
        <w:t xml:space="preserve">Дата выдачи карты клиенту;</w:t>
      </w:r>
      <w:r/>
    </w:p>
    <w:p>
      <w:pPr>
        <w:pStyle w:val="976"/>
      </w:pPr>
      <w:r>
        <w:t xml:space="preserve">Дата возвраты карты клиентом;</w:t>
      </w:r>
      <w:r/>
    </w:p>
    <w:p>
      <w:pPr>
        <w:pStyle w:val="976"/>
      </w:pPr>
      <w:r>
        <w:t xml:space="preserve">Статус;</w:t>
      </w:r>
      <w:r/>
    </w:p>
    <w:p>
      <w:pPr>
        <w:pStyle w:val="976"/>
      </w:pPr>
      <w:r>
        <w:t xml:space="preserve">Дата действия с;</w:t>
      </w:r>
      <w:r/>
    </w:p>
    <w:p>
      <w:pPr>
        <w:pStyle w:val="976"/>
      </w:pPr>
      <w:r>
        <w:t xml:space="preserve">Дата действия по.</w:t>
      </w:r>
      <w:r/>
    </w:p>
    <w:p>
      <w:pPr>
        <w:pStyle w:val="962"/>
      </w:pPr>
      <w:r/>
      <w:bookmarkStart w:id="1072" w:name="_Toc20229509"/>
      <w:r/>
      <w:bookmarkStart w:id="1073" w:name="_Toc62446051"/>
      <w:r/>
      <w:bookmarkEnd w:id="791"/>
      <w:r/>
      <w:bookmarkEnd w:id="792"/>
      <w:r>
        <w:t xml:space="preserve">Формуляр</w:t>
      </w:r>
      <w:r>
        <w:t xml:space="preserve"> «Сведения о ДО»</w:t>
      </w:r>
      <w:bookmarkEnd w:id="778"/>
      <w:r/>
      <w:bookmarkEnd w:id="779"/>
      <w:r/>
      <w:bookmarkEnd w:id="780"/>
      <w:r/>
      <w:bookmarkEnd w:id="1072"/>
      <w:r/>
      <w:bookmarkEnd w:id="1073"/>
      <w:r/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074" w:name="_Toc452115256"/>
      <w:r/>
      <w:bookmarkStart w:id="1075" w:name="_Toc487019711"/>
      <w:r/>
      <w:bookmarkStart w:id="1076" w:name="_Toc487028501"/>
      <w:r/>
      <w:bookmarkStart w:id="1077" w:name="_Toc20229510"/>
      <w:r/>
      <w:bookmarkStart w:id="1078" w:name="_Toc62446052"/>
      <w:r>
        <w:t xml:space="preserve">Создание клиентом в Компоненте ДО ПУР ЭБ</w:t>
      </w:r>
      <w:r>
        <w:t xml:space="preserve"> экземпляра формуляра «Сведения о ДО»</w:t>
      </w:r>
      <w:bookmarkEnd w:id="781"/>
      <w:r/>
      <w:bookmarkEnd w:id="1074"/>
      <w:r/>
      <w:bookmarkEnd w:id="1075"/>
      <w:r/>
      <w:bookmarkEnd w:id="1076"/>
      <w:r/>
      <w:bookmarkEnd w:id="1077"/>
      <w:r/>
      <w:bookmarkEnd w:id="1078"/>
      <w:r/>
      <w:r/>
    </w:p>
    <w:p>
      <w:pPr>
        <w:pStyle w:val="964"/>
        <w:ind w:left="1304" w:hanging="1304"/>
        <w:tabs>
          <w:tab w:val="num" w:pos="1304" w:leader="none"/>
        </w:tabs>
      </w:pPr>
      <w:r/>
      <w:bookmarkStart w:id="1079" w:name="_Toc487019712"/>
      <w:r/>
      <w:bookmarkStart w:id="1080" w:name="_Toc487028502"/>
      <w:r>
        <w:t xml:space="preserve">Условия выполнения операции</w:t>
      </w:r>
      <w:bookmarkEnd w:id="1079"/>
      <w:r/>
      <w:bookmarkEnd w:id="1080"/>
      <w:r/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</w:pPr>
      <w:r>
        <w:t xml:space="preserve">дата обработки документа больше и равна дате начала действия функциональности СКП</w:t>
      </w:r>
      <w:r>
        <w:t xml:space="preserve">;</w:t>
      </w:r>
      <w:r/>
    </w:p>
    <w:p>
      <w:pPr>
        <w:pStyle w:val="976"/>
      </w:pPr>
      <w:r>
        <w:t xml:space="preserve">наличие у пользователя соответствующих полномочий;</w:t>
      </w:r>
      <w:r/>
    </w:p>
    <w:p>
      <w:pPr>
        <w:pStyle w:val="976"/>
      </w:pPr>
      <w:r>
        <w:t xml:space="preserve">в </w:t>
      </w:r>
      <w:r>
        <w:t xml:space="preserve">П</w:t>
      </w:r>
      <w:r>
        <w:t xml:space="preserve">одсистеме настроено многоуровневое согласование документа «Сведения о ДО»;</w:t>
      </w:r>
      <w:r/>
    </w:p>
    <w:p>
      <w:pPr>
        <w:pStyle w:val="976"/>
      </w:pPr>
      <w:r>
        <w:t xml:space="preserve">в </w:t>
      </w:r>
      <w:r>
        <w:t xml:space="preserve">П</w:t>
      </w:r>
      <w:r>
        <w:t xml:space="preserve">одсистеме существует документ «Бюджетное обязательство» в статусе «Актуален», по которому создается документ «Сведения о ДО»;</w:t>
      </w:r>
      <w:r/>
    </w:p>
    <w:p>
      <w:pPr>
        <w:pStyle w:val="976"/>
      </w:pPr>
      <w:r>
        <w:t xml:space="preserve">заполнены справочники для обеспечения корректной работы </w:t>
      </w:r>
      <w:r>
        <w:t xml:space="preserve">С</w:t>
      </w:r>
      <w:r>
        <w:t xml:space="preserve">истемы</w:t>
      </w:r>
      <w:r/>
    </w:p>
    <w:p>
      <w:pPr>
        <w:pStyle w:val="976"/>
      </w:pPr>
      <w:r>
        <w:t xml:space="preserve">есть пользователи, привязанные к организации ПБС, с ролями:</w:t>
      </w:r>
      <w:r/>
    </w:p>
    <w:p>
      <w:pPr>
        <w:pStyle w:val="977"/>
      </w:pPr>
      <w:r>
        <w:t xml:space="preserve">БО.001 Клиент.Ввод данных СБО (ПБС);</w:t>
      </w:r>
      <w:r/>
    </w:p>
    <w:p>
      <w:pPr>
        <w:pStyle w:val="977"/>
      </w:pPr>
      <w:r>
        <w:t xml:space="preserve">БО.002 Клиент.Согласование данных СБО (ПБС);</w:t>
      </w:r>
      <w:r/>
    </w:p>
    <w:p>
      <w:pPr>
        <w:pStyle w:val="977"/>
      </w:pPr>
      <w:r>
        <w:t xml:space="preserve">БО.003 Клиент.Утверждение СБО (ПБС)</w:t>
      </w:r>
      <w:r>
        <w:t xml:space="preserve">.</w:t>
      </w:r>
      <w:r/>
    </w:p>
    <w:p>
      <w:pPr>
        <w:pStyle w:val="964"/>
        <w:ind w:left="1304" w:hanging="1304"/>
        <w:tabs>
          <w:tab w:val="num" w:pos="1304" w:leader="none"/>
        </w:tabs>
      </w:pPr>
      <w:r/>
      <w:bookmarkStart w:id="1081" w:name="_Toc487019713"/>
      <w:r/>
      <w:bookmarkStart w:id="1082" w:name="_Toc487028503"/>
      <w:r>
        <w:t xml:space="preserve">Последовательность действий</w:t>
      </w:r>
      <w:bookmarkEnd w:id="1081"/>
      <w:r/>
      <w:bookmarkEnd w:id="1082"/>
      <w:r/>
      <w:r/>
    </w:p>
    <w:p>
      <w:pPr>
        <w:pStyle w:val="986"/>
      </w:pPr>
      <w:r>
        <w:t xml:space="preserve">Для формирования документа «Сведения о ДО» необходимо выполнить следующие действия:</w:t>
      </w:r>
      <w:r/>
    </w:p>
    <w:p>
      <w:pPr>
        <w:pStyle w:val="1147"/>
        <w:numPr>
          <w:ilvl w:val="0"/>
          <w:numId w:val="2"/>
        </w:numPr>
      </w:pPr>
      <w:r>
        <w:rPr>
          <w:lang w:eastAsia="zh-CN"/>
        </w:rPr>
        <w:t xml:space="preserve">Выбрать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«Все сервисы –</w:t>
      </w:r>
      <w:r>
        <w:rPr>
          <w:lang w:eastAsia="zh-CN"/>
        </w:rPr>
        <w:t xml:space="preserve"> </w:t>
      </w:r>
      <w:r>
        <w:t xml:space="preserve">Управление расходами 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Сведения о денежных обязательствах – Все документы</w:t>
      </w:r>
      <w:r>
        <w:t xml:space="preserve"> (Клиент)</w:t>
      </w:r>
      <w:r>
        <w:t xml:space="preserve">»</w:t>
      </w:r>
      <w:r>
        <w:t xml:space="preserve"> (</w:t>
      </w:r>
      <w:r>
        <w:t xml:space="preserve">рис. </w:t>
      </w:r>
      <w:r>
        <w:fldChar w:fldCharType="begin"/>
      </w:r>
      <w:r>
        <w:instrText xml:space="preserve"> REF _Ref536829843 \h </w:instrText>
      </w:r>
      <w:r>
        <w:fldChar w:fldCharType="separate"/>
      </w:r>
      <w:r>
        <w:t xml:space="preserve">66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629785"/>
                <wp:effectExtent l="0" t="0" r="0" b="0"/>
                <wp:docPr id="95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6120130" cy="4629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mso-wrap-distance-left:0.0pt;mso-wrap-distance-top:0.0pt;mso-wrap-distance-right:0.0pt;mso-wrap-distance-bottom:0.0pt;width:481.9pt;height:364.5pt;" stroked="false">
                <v:path textboxrect="0,0,0,0"/>
                <v:imagedata r:id="rId11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83" w:name="_Ref536829843"/>
      <w:r/>
      <w:bookmarkStart w:id="1084" w:name="_Toc20229611"/>
      <w:r/>
      <w:bookmarkStart w:id="1085" w:name="_Toc59804521"/>
      <w:r>
        <w:t xml:space="preserve">66</w:t>
      </w:r>
      <w:bookmarkEnd w:id="1083"/>
      <w:r>
        <w:fldChar w:fldCharType="end"/>
      </w:r>
      <w:r>
        <w:t xml:space="preserve">. Пункт меню «Свед</w:t>
      </w:r>
      <w:r>
        <w:t xml:space="preserve">ения о денежных обязательствах</w:t>
      </w:r>
      <w:r>
        <w:t xml:space="preserve">»</w:t>
      </w:r>
      <w:bookmarkEnd w:id="1084"/>
      <w:r/>
      <w:bookmarkEnd w:id="1085"/>
      <w:r/>
      <w:r/>
    </w:p>
    <w:p>
      <w:pPr>
        <w:pStyle w:val="986"/>
      </w:pPr>
      <w:r>
        <w:t xml:space="preserve">Создать экземпляр формуляра «Сведени</w:t>
      </w:r>
      <w:r>
        <w:t xml:space="preserve">я</w:t>
      </w:r>
      <w:r>
        <w:t xml:space="preserve"> о денежных обязательствах» с типом «Первичный» одним из следующих возможных способов (статус «Новый»):</w:t>
      </w:r>
      <w:r/>
    </w:p>
    <w:p>
      <w:pPr>
        <w:pStyle w:val="1147"/>
        <w:numPr>
          <w:ilvl w:val="0"/>
          <w:numId w:val="19"/>
        </w:numPr>
      </w:pPr>
      <w:r>
        <w:t xml:space="preserve">Нажатием </w:t>
      </w:r>
      <w:r>
        <w:t xml:space="preserve">кнопки</w:t>
      </w:r>
      <w:r>
        <w:t xml:space="preserve"> «Создать новый документ» со списковой формы (</w:t>
      </w:r>
      <w:r>
        <w:t xml:space="preserve">п. </w:t>
      </w:r>
      <w:r>
        <w:fldChar w:fldCharType="begin"/>
      </w:r>
      <w:r>
        <w:instrText xml:space="preserve"> REF _Ref486930042 \r \h  \* MERGEFORMAT </w:instrText>
      </w:r>
      <w:r>
        <w:fldChar w:fldCharType="separate"/>
      </w:r>
      <w:r>
        <w:t xml:space="preserve">5.4.1.2.1</w:t>
      </w:r>
      <w:r>
        <w:fldChar w:fldCharType="end"/>
      </w:r>
      <w:r>
        <w:t xml:space="preserve">).</w:t>
      </w:r>
      <w:r/>
    </w:p>
    <w:p>
      <w:pPr>
        <w:pStyle w:val="1147"/>
      </w:pPr>
      <w:r>
        <w:t xml:space="preserve">Копированием (с вложениями или без) (</w:t>
      </w:r>
      <w:r>
        <w:t xml:space="preserve">п. </w:t>
      </w:r>
      <w:r>
        <w:fldChar w:fldCharType="begin"/>
      </w:r>
      <w:r>
        <w:instrText xml:space="preserve"> REF _Ref487020580 \r \h  \* MERGEFORMAT </w:instrText>
      </w:r>
      <w:r>
        <w:fldChar w:fldCharType="separate"/>
      </w:r>
      <w:r>
        <w:t xml:space="preserve">5.4.1.2.2</w:t>
      </w:r>
      <w:r>
        <w:fldChar w:fldCharType="end"/>
      </w:r>
      <w:r>
        <w:t xml:space="preserve">).</w:t>
      </w:r>
      <w:r/>
    </w:p>
    <w:p>
      <w:pPr>
        <w:pStyle w:val="1147"/>
      </w:pPr>
      <w:r>
        <w:t xml:space="preserve">Импортом (</w:t>
      </w:r>
      <w:r>
        <w:t xml:space="preserve">п. </w:t>
      </w:r>
      <w:r>
        <w:fldChar w:fldCharType="begin"/>
      </w:r>
      <w:r>
        <w:instrText xml:space="preserve"> REF _Ref486930059 \r \h  \* MERGEFORMAT </w:instrText>
      </w:r>
      <w:r>
        <w:fldChar w:fldCharType="separate"/>
      </w:r>
      <w:r>
        <w:t xml:space="preserve">5.4.1.2.3</w:t>
      </w:r>
      <w:r>
        <w:fldChar w:fldCharType="end"/>
      </w:r>
      <w:r>
        <w:t xml:space="preserve">).</w:t>
      </w:r>
      <w:r/>
    </w:p>
    <w:p>
      <w:pPr>
        <w:pStyle w:val="1147"/>
      </w:pPr>
      <w:r>
        <w:t xml:space="preserve">Из списковой формы ПБО (</w:t>
      </w:r>
      <w:r>
        <w:t xml:space="preserve">п. </w:t>
      </w:r>
      <w:r>
        <w:fldChar w:fldCharType="begin"/>
      </w:r>
      <w:r>
        <w:instrText xml:space="preserve"> REF _Ref486930066 \r \h  \* MERGEFORMAT </w:instrText>
      </w:r>
      <w:r>
        <w:fldChar w:fldCharType="separate"/>
      </w:r>
      <w:r>
        <w:t xml:space="preserve">5.4.1.2.4</w:t>
      </w:r>
      <w:r>
        <w:fldChar w:fldCharType="end"/>
      </w:r>
      <w:r>
        <w:t xml:space="preserve">).</w:t>
      </w:r>
      <w:r/>
    </w:p>
    <w:p>
      <w:pPr>
        <w:pStyle w:val="1147"/>
      </w:pPr>
      <w:r>
        <w:t xml:space="preserve">Из визуальной формы ПБО из </w:t>
      </w:r>
      <w:r>
        <w:t xml:space="preserve">вкладки «</w:t>
      </w:r>
      <w:r>
        <w:t xml:space="preserve">График платежей</w:t>
      </w:r>
      <w:r>
        <w:t xml:space="preserve">»</w:t>
      </w:r>
      <w:r>
        <w:t xml:space="preserve"> (</w:t>
      </w:r>
      <w:r>
        <w:t xml:space="preserve">п. </w:t>
      </w:r>
      <w:r>
        <w:fldChar w:fldCharType="begin"/>
      </w:r>
      <w:r>
        <w:instrText xml:space="preserve"> REF _Ref486930074 \r \h  \* MERGEFORMAT </w:instrText>
      </w:r>
      <w:r>
        <w:fldChar w:fldCharType="separate"/>
      </w:r>
      <w:r>
        <w:t xml:space="preserve">5.4.1.2.5</w:t>
      </w:r>
      <w:r>
        <w:fldChar w:fldCharType="end"/>
      </w:r>
      <w:r>
        <w:t xml:space="preserve">).</w:t>
      </w:r>
      <w:r/>
    </w:p>
    <w:p>
      <w:pPr>
        <w:pStyle w:val="1147"/>
      </w:pPr>
      <w:r>
        <w:t xml:space="preserve">По кнопке «Создать новую версию документа» с панели инструментов (</w:t>
      </w:r>
      <w:r>
        <w:t xml:space="preserve">п. </w:t>
      </w:r>
      <w:r>
        <w:fldChar w:fldCharType="begin"/>
      </w:r>
      <w:r>
        <w:instrText xml:space="preserve"> REF _Ref486930850 \r \h  \* MERGEFORMAT </w:instrText>
      </w:r>
      <w:r>
        <w:fldChar w:fldCharType="separate"/>
      </w:r>
      <w:r>
        <w:t xml:space="preserve">5.4.1.2.6</w:t>
      </w:r>
      <w:r>
        <w:fldChar w:fldCharType="end"/>
      </w:r>
      <w:r>
        <w:t xml:space="preserve">).</w:t>
      </w:r>
      <w:r/>
    </w:p>
    <w:p>
      <w:pPr>
        <w:pStyle w:val="965"/>
      </w:pPr>
      <w:r/>
      <w:bookmarkStart w:id="1086" w:name="_Ref486930042"/>
      <w:r/>
      <w:bookmarkStart w:id="1087" w:name="_Toc487028504"/>
      <w:r>
        <w:t xml:space="preserve">Создание </w:t>
      </w:r>
      <w:r>
        <w:t xml:space="preserve">С</w:t>
      </w:r>
      <w:r>
        <w:t xml:space="preserve">ДО по кнопке «Создать новый документ»</w:t>
      </w:r>
      <w:bookmarkEnd w:id="1086"/>
      <w:r/>
      <w:bookmarkEnd w:id="1087"/>
      <w:r/>
      <w:r/>
    </w:p>
    <w:p>
      <w:pPr>
        <w:pStyle w:val="1147"/>
        <w:numPr>
          <w:ilvl w:val="0"/>
          <w:numId w:val="3"/>
        </w:numPr>
      </w:pPr>
      <w:r>
        <w:t xml:space="preserve">В СФ документа н</w:t>
      </w:r>
      <w:r>
        <w:t xml:space="preserve">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314325"/>
                <wp:effectExtent l="19050" t="0" r="0" b="0"/>
                <wp:docPr id="96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3048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mso-wrap-distance-left:0.0pt;mso-wrap-distance-top:0.0pt;mso-wrap-distance-right:0.0pt;mso-wrap-distance-bottom:0.0pt;width:24.0pt;height:24.8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t xml:space="preserve"> </w:t>
      </w:r>
      <w:r>
        <w:t xml:space="preserve">(Создать новый документ)</w:t>
      </w:r>
      <w:r>
        <w:t xml:space="preserve"> (</w:t>
      </w:r>
      <w:r>
        <w:t xml:space="preserve">рис. </w:t>
      </w:r>
      <w:r>
        <w:fldChar w:fldCharType="begin"/>
      </w:r>
      <w:r>
        <w:instrText xml:space="preserve"> REF _Ref518986803 \h </w:instrText>
      </w:r>
      <w:r>
        <w:fldChar w:fldCharType="separate"/>
      </w:r>
      <w:r>
        <w:t xml:space="preserve">67</w:t>
      </w:r>
      <w:r>
        <w:fldChar w:fldCharType="end"/>
      </w:r>
      <w:r>
        <w:t xml:space="preserve">). 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2590800"/>
                <wp:effectExtent l="19050" t="0" r="0" b="0"/>
                <wp:docPr id="97" name="Рисунок 21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7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6115050" cy="259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mso-wrap-distance-left:0.0pt;mso-wrap-distance-top:0.0pt;mso-wrap-distance-right:0.0pt;mso-wrap-distance-bottom:0.0pt;width:481.5pt;height:204.0pt;" stroked="f" strokeweight="0.75pt">
                <v:path textboxrect="0,0,0,0"/>
                <v:imagedata r:id="rId114" o:title=""/>
              </v:shape>
            </w:pict>
          </mc:Fallback>
        </mc:AlternateContent>
      </w:r>
      <w:r/>
    </w:p>
    <w:p>
      <w:pPr>
        <w:pStyle w:val="974"/>
      </w:pPr>
      <w:r/>
      <w:bookmarkStart w:id="1088" w:name="_Ref486928413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89" w:name="_Ref518986803"/>
      <w:r/>
      <w:bookmarkStart w:id="1090" w:name="_Toc20229612"/>
      <w:r/>
      <w:bookmarkStart w:id="1091" w:name="_Toc59804522"/>
      <w:r>
        <w:t xml:space="preserve">67</w:t>
      </w:r>
      <w:bookmarkEnd w:id="1089"/>
      <w:r>
        <w:fldChar w:fldCharType="end"/>
      </w:r>
      <w:bookmarkEnd w:id="1088"/>
      <w:r>
        <w:t xml:space="preserve">. Создание нового документа «Сведения о ДО»</w:t>
      </w:r>
      <w:bookmarkEnd w:id="1090"/>
      <w:r/>
      <w:bookmarkEnd w:id="1091"/>
      <w:r/>
      <w:r/>
    </w:p>
    <w:p>
      <w:pPr>
        <w:pStyle w:val="1147"/>
      </w:pPr>
      <w:r/>
      <w:bookmarkStart w:id="1092" w:name="_Ref486930055"/>
      <w:r>
        <w:t xml:space="preserve">На открывшейся ВФ документа нажать кнопку «Выбор записи из БО». Откроется список актуальных записей Перечня БО, из которого необходимо выбрать соответствующую запись для предзаполнения СДО. </w:t>
      </w:r>
      <w:r/>
    </w:p>
    <w:p>
      <w:pPr>
        <w:pStyle w:val="1147"/>
      </w:pPr>
      <w:r>
        <w:t xml:space="preserve">Дозаполнить остальные поля</w:t>
      </w:r>
      <w:r>
        <w:t xml:space="preserve">, в том числе</w:t>
      </w:r>
      <w:r>
        <w:t xml:space="preserve">:</w:t>
      </w:r>
      <w:r/>
    </w:p>
    <w:p>
      <w:pPr>
        <w:pStyle w:val="983"/>
      </w:pPr>
      <w:r>
        <w:t xml:space="preserve">Для создания документа с типом «Первичный» необходимо выбрать из выпадающего списка </w:t>
      </w:r>
      <w:r>
        <w:t xml:space="preserve">т</w:t>
      </w:r>
      <w:r>
        <w:t xml:space="preserve">ип сведений «Первичный», затем</w:t>
      </w:r>
      <w:r>
        <w:t xml:space="preserve"> </w:t>
      </w: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0500" cy="180975"/>
                <wp:effectExtent l="19050" t="0" r="0" b="0"/>
                <wp:docPr id="98" name="Рисунок 21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8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mso-wrap-distance-left:0.0pt;mso-wrap-distance-top:0.0pt;mso-wrap-distance-right:0.0pt;mso-wrap-distance-bottom:0.0pt;width:15.0pt;height:14.2pt;" stroked="f" strokeweight="0.75pt">
                <v:path textboxrect="0,0,0,0"/>
                <v:imagedata r:id="rId115" o:title=""/>
              </v:shape>
            </w:pict>
          </mc:Fallback>
        </mc:AlternateContent>
      </w:r>
      <w:r>
        <w:t xml:space="preserve"> рядом с полем «Учетный номер БО» и выбрать из справочника «Бюджетное обяз</w:t>
      </w:r>
      <w:r>
        <w:t xml:space="preserve">ательство» БО, на которые создаю</w:t>
      </w:r>
      <w:r>
        <w:t xml:space="preserve">тся </w:t>
      </w:r>
      <w:r>
        <w:t xml:space="preserve">С</w:t>
      </w:r>
      <w:r>
        <w:t xml:space="preserve">ДО.</w:t>
      </w:r>
      <w:r/>
    </w:p>
    <w:p>
      <w:pPr>
        <w:pStyle w:val="983"/>
      </w:pPr>
      <w:r>
        <w:t xml:space="preserve">Для создания документа с типом «Изменение» необходимо </w:t>
      </w:r>
      <w:r>
        <w:t xml:space="preserve">выбрать из выпадающего списка тип сведений «Изменение» и далее</w:t>
      </w:r>
      <w:r>
        <w:t xml:space="preserve"> </w:t>
      </w: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0500" cy="180975"/>
                <wp:effectExtent l="19050" t="0" r="0" b="0"/>
                <wp:docPr id="99" name="Рисунок 21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9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mso-wrap-distance-left:0.0pt;mso-wrap-distance-top:0.0pt;mso-wrap-distance-right:0.0pt;mso-wrap-distance-bottom:0.0pt;width:15.0pt;height:14.2pt;" stroked="f" strokeweight="0.75pt">
                <v:path textboxrect="0,0,0,0"/>
                <v:imagedata r:id="rId115" o:title=""/>
              </v:shape>
            </w:pict>
          </mc:Fallback>
        </mc:AlternateContent>
      </w:r>
      <w:r>
        <w:t xml:space="preserve"> </w:t>
      </w:r>
      <w:r>
        <w:rPr>
          <w:szCs w:val="28"/>
        </w:rPr>
        <w:t xml:space="preserve">рядом с полем «Тип сведений»</w:t>
      </w:r>
      <w:r>
        <w:rPr>
          <w:szCs w:val="28"/>
        </w:rPr>
        <w:t xml:space="preserve">,</w:t>
      </w:r>
      <w:r>
        <w:t xml:space="preserve"> выбрать из справочника «Денежное обязательство» запись, на которую необходимо создать изменение (рис</w:t>
      </w:r>
      <w:r>
        <w:t xml:space="preserve">. </w:t>
      </w:r>
      <w:r>
        <w:fldChar w:fldCharType="begin"/>
      </w:r>
      <w:r>
        <w:instrText xml:space="preserve"> REF _Ref518986812 \h </w:instrText>
      </w:r>
      <w:r>
        <w:instrText xml:space="preserve"> \* MERGEFORMAT </w:instrText>
      </w:r>
      <w:r>
        <w:fldChar w:fldCharType="separate"/>
      </w:r>
      <w:r>
        <w:t xml:space="preserve">68</w:t>
      </w:r>
      <w:r>
        <w:fldChar w:fldCharType="end"/>
      </w:r>
      <w:r>
        <w:t xml:space="preserve">).</w:t>
      </w:r>
      <w:r/>
    </w:p>
    <w:p>
      <w:pPr>
        <w:pStyle w:val="983"/>
      </w:pPr>
      <w:r>
        <w:t xml:space="preserve">При заполнении полей документов, формируемых организациями по перенятым полномочиям, номер лицевого счета следует ук</w:t>
      </w:r>
      <w:r>
        <w:t xml:space="preserve">азывать с использованием кнопки</w:t>
      </w:r>
      <w:r>
        <w:t xml:space="preserve"> «Выбрать 14 л/с». При нажатии </w:t>
      </w:r>
      <w:r>
        <w:t xml:space="preserve">кнопк</w:t>
      </w:r>
      <w:r>
        <w:t xml:space="preserve">и </w:t>
      </w:r>
      <w:r>
        <w:t xml:space="preserve">организацией, имеющей лицевые счета по переданным полномочиям, откроется список табличных частей с 14 л/с справочника «Сводный реестр», где отображаются 14 л/с, полномочия по проведению операций на которые переданы данной организации.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7048500"/>
                <wp:effectExtent l="19050" t="0" r="0" b="0"/>
                <wp:docPr id="100" name="Рисунок 220" descr="1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0" descr="16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6115050" cy="7048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mso-wrap-distance-left:0.0pt;mso-wrap-distance-top:0.0pt;mso-wrap-distance-right:0.0pt;mso-wrap-distance-bottom:0.0pt;width:481.5pt;height:555.0pt;" stroked="f" strokeweight="0.75pt">
                <v:path textboxrect="0,0,0,0"/>
                <v:imagedata r:id="rId116" o:title=""/>
              </v:shape>
            </w:pict>
          </mc:Fallback>
        </mc:AlternateContent>
      </w:r>
      <w:r/>
    </w:p>
    <w:p>
      <w:pPr>
        <w:pStyle w:val="974"/>
        <w:rPr>
          <w:lang w:eastAsia="ko-KR"/>
        </w:rPr>
      </w:pPr>
      <w:r/>
      <w:bookmarkStart w:id="1093" w:name="_Ref486931587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094" w:name="_Ref518986812"/>
      <w:r/>
      <w:bookmarkStart w:id="1095" w:name="_Toc20229613"/>
      <w:r/>
      <w:bookmarkStart w:id="1096" w:name="_Toc59804523"/>
      <w:r>
        <w:t xml:space="preserve">68</w:t>
      </w:r>
      <w:bookmarkEnd w:id="1094"/>
      <w:r>
        <w:fldChar w:fldCharType="end"/>
      </w:r>
      <w:bookmarkEnd w:id="1093"/>
      <w:r>
        <w:t xml:space="preserve">. Создание нового документа «Сведения о соглашении и ДО» с типом </w:t>
      </w:r>
      <w:r>
        <w:t xml:space="preserve">«</w:t>
      </w:r>
      <w:r>
        <w:t xml:space="preserve">Изменение</w:t>
      </w:r>
      <w:r>
        <w:t xml:space="preserve">»</w:t>
      </w:r>
      <w:r>
        <w:t xml:space="preserve"> по кнопке «Создать новый документ»</w:t>
      </w:r>
      <w:bookmarkEnd w:id="1095"/>
      <w:r/>
      <w:bookmarkEnd w:id="1096"/>
      <w:r/>
      <w:r/>
    </w:p>
    <w:p>
      <w:pPr>
        <w:pStyle w:val="965"/>
      </w:pPr>
      <w:r/>
      <w:bookmarkStart w:id="1097" w:name="_Ref487020580"/>
      <w:r/>
      <w:bookmarkStart w:id="1098" w:name="_Toc487028505"/>
      <w:r>
        <w:t xml:space="preserve">Создание СДО копированием</w:t>
      </w:r>
      <w:bookmarkEnd w:id="1092"/>
      <w:r/>
      <w:bookmarkEnd w:id="1097"/>
      <w:r/>
      <w:bookmarkEnd w:id="1098"/>
      <w:r/>
      <w:r/>
    </w:p>
    <w:p>
      <w:pPr>
        <w:pStyle w:val="1147"/>
        <w:numPr>
          <w:ilvl w:val="0"/>
          <w:numId w:val="125"/>
        </w:numPr>
      </w:pPr>
      <w:r>
        <w:t xml:space="preserve">В СФ документа н</w:t>
      </w:r>
      <w:r>
        <w:t xml:space="preserve">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8625" cy="266700"/>
                <wp:effectExtent l="19050" t="0" r="9525" b="0"/>
                <wp:docPr id="101" name="Рисунок 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42862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mso-wrap-distance-left:0.0pt;mso-wrap-distance-top:0.0pt;mso-wrap-distance-right:0.0pt;mso-wrap-distance-bottom:0.0pt;width:33.8pt;height:21.0pt;" stroked="f" strokeweight="0.75pt">
                <v:path textboxrect="0,0,0,0"/>
                <v:imagedata r:id="rId117" o:title=""/>
              </v:shape>
            </w:pict>
          </mc:Fallback>
        </mc:AlternateContent>
      </w:r>
      <w:r>
        <w:t xml:space="preserve"> (Копировать) (рис</w:t>
      </w:r>
      <w:r>
        <w:t xml:space="preserve">.</w:t>
      </w:r>
      <w:r>
        <w:t xml:space="preserve"> </w:t>
      </w:r>
      <w:r>
        <w:fldChar w:fldCharType="begin"/>
      </w:r>
      <w:r>
        <w:instrText xml:space="preserve"> REF _Ref486929315 \h </w:instrText>
      </w:r>
      <w:r>
        <w:instrText xml:space="preserve"> \* MERGEFORMAT </w:instrText>
      </w:r>
      <w:r>
        <w:fldChar w:fldCharType="separate"/>
      </w:r>
      <w:r>
        <w:t xml:space="preserve">69</w:t>
      </w:r>
      <w:r>
        <w:fldChar w:fldCharType="end"/>
      </w:r>
      <w:r>
        <w:t xml:space="preserve">). </w:t>
      </w:r>
      <w:r/>
    </w:p>
    <w:p>
      <w:pPr>
        <w:pStyle w:val="1147"/>
      </w:pPr>
      <w:r>
        <w:t xml:space="preserve">Выбрать </w:t>
      </w:r>
      <w:r>
        <w:t xml:space="preserve">пункт </w:t>
      </w:r>
      <w:r>
        <w:t xml:space="preserve">«Копировать документ с вложениями» или «Копировать документ без вложений».</w:t>
      </w:r>
      <w:r/>
    </w:p>
    <w:p>
      <w:pPr>
        <w:pStyle w:val="973"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543050"/>
                <wp:effectExtent l="19050" t="0" r="0" b="0"/>
                <wp:docPr id="102" name="Рисунок 22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4171950" cy="1543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mso-wrap-distance-left:0.0pt;mso-wrap-distance-top:0.0pt;mso-wrap-distance-right:0.0pt;mso-wrap-distance-bottom:0.0pt;width:328.5pt;height:121.5pt;" stroked="f" strokeweight="0.75pt">
                <v:path textboxrect="0,0,0,0"/>
                <v:imagedata r:id="rId118" o:title=""/>
              </v:shape>
            </w:pict>
          </mc:Fallback>
        </mc:AlternateContent>
      </w:r>
      <w:r/>
    </w:p>
    <w:p>
      <w:pPr>
        <w:pStyle w:val="974"/>
      </w:pPr>
      <w:r/>
      <w:bookmarkStart w:id="1099" w:name="_Ref486929315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00" w:name="_Toc20229614"/>
      <w:r/>
      <w:bookmarkStart w:id="1101" w:name="_Toc59804524"/>
      <w:r>
        <w:t xml:space="preserve">69</w:t>
      </w:r>
      <w:r>
        <w:fldChar w:fldCharType="end"/>
      </w:r>
      <w:bookmarkEnd w:id="1099"/>
      <w:r>
        <w:t xml:space="preserve">. Создание нового документа «Сведения о ДО» копированием</w:t>
      </w:r>
      <w:bookmarkEnd w:id="1100"/>
      <w:r/>
      <w:bookmarkEnd w:id="1101"/>
      <w:r/>
      <w:r/>
    </w:p>
    <w:p>
      <w:pPr>
        <w:pStyle w:val="965"/>
      </w:pPr>
      <w:r/>
      <w:bookmarkStart w:id="1102" w:name="_Ref486930059"/>
      <w:r/>
      <w:bookmarkStart w:id="1103" w:name="_Toc487028506"/>
      <w:r>
        <w:t xml:space="preserve">Создание СДО импортом</w:t>
      </w:r>
      <w:bookmarkEnd w:id="1102"/>
      <w:r/>
      <w:bookmarkEnd w:id="1103"/>
      <w:r/>
      <w:r/>
    </w:p>
    <w:p>
      <w:pPr>
        <w:pStyle w:val="1147"/>
        <w:numPr>
          <w:ilvl w:val="0"/>
          <w:numId w:val="124"/>
        </w:numPr>
      </w:pPr>
      <w:r/>
      <w:bookmarkStart w:id="1104" w:name="OLE_LINK103"/>
      <w:r/>
      <w:bookmarkStart w:id="1105" w:name="OLE_LINK104"/>
      <w:r>
        <w:t xml:space="preserve">В СФ документа 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4350" cy="323850"/>
                <wp:effectExtent l="19050" t="0" r="0" b="0"/>
                <wp:docPr id="103" name="Рисунок 22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5143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mso-wrap-distance-left:0.0pt;mso-wrap-distance-top:0.0pt;mso-wrap-distance-right:0.0pt;mso-wrap-distance-bottom:0.0pt;width:40.5pt;height:25.5pt;" stroked="f" strokeweight="0.75pt">
                <v:path textboxrect="0,0,0,0"/>
                <v:imagedata r:id="rId119" o:title=""/>
              </v:shape>
            </w:pict>
          </mc:Fallback>
        </mc:AlternateContent>
      </w:r>
      <w:r>
        <w:t xml:space="preserve"> (</w:t>
      </w:r>
      <w:r>
        <w:t xml:space="preserve">Импорт</w:t>
      </w:r>
      <w:r>
        <w:t xml:space="preserve">)</w:t>
      </w:r>
      <w:r>
        <w:t xml:space="preserve"> на панели инструментов.</w:t>
      </w:r>
      <w:r/>
    </w:p>
    <w:p>
      <w:pPr>
        <w:pStyle w:val="1147"/>
        <w:numPr>
          <w:ilvl w:val="0"/>
          <w:numId w:val="1"/>
        </w:numPr>
      </w:pPr>
      <w:r>
        <w:t xml:space="preserve">На экране появится окно загрузки файлов.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90575" cy="228600"/>
                <wp:effectExtent l="19050" t="0" r="9525" b="0"/>
                <wp:docPr id="104" name="Рисунок 22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4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79057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mso-wrap-distance-left:0.0pt;mso-wrap-distance-top:0.0pt;mso-wrap-distance-right:0.0pt;mso-wrap-distance-bottom:0.0pt;width:62.2pt;height:18.0pt;" stroked="f" strokeweight="0.75pt">
                <v:path textboxrect="0,0,0,0"/>
                <v:imagedata r:id="rId120" o:title=""/>
              </v:shape>
            </w:pict>
          </mc:Fallback>
        </mc:AlternateContent>
      </w:r>
      <w:r>
        <w:t xml:space="preserve"> (</w:t>
      </w:r>
      <w:r>
        <w:t xml:space="preserve">Загрузка</w:t>
      </w:r>
      <w:r>
        <w:t xml:space="preserve">)</w:t>
      </w:r>
      <w:r>
        <w:t xml:space="preserve"> в нем.</w:t>
      </w:r>
      <w:r/>
    </w:p>
    <w:p>
      <w:pPr>
        <w:pStyle w:val="1147"/>
        <w:numPr>
          <w:ilvl w:val="0"/>
          <w:numId w:val="1"/>
        </w:numPr>
      </w:pPr>
      <w:r>
        <w:t xml:space="preserve">Выбрать нужный файл и нажать</w:t>
      </w:r>
      <w:r>
        <w:t xml:space="preserve"> </w:t>
      </w:r>
      <w:r>
        <w:t xml:space="preserve">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847725" cy="257175"/>
                <wp:effectExtent l="19050" t="0" r="9525" b="0"/>
                <wp:docPr id="105" name="Рисунок 22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5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8477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mso-wrap-distance-left:0.0pt;mso-wrap-distance-top:0.0pt;mso-wrap-distance-right:0.0pt;mso-wrap-distance-bottom:0.0pt;width:66.8pt;height:20.2pt;" stroked="f" strokeweight="0.75pt">
                <v:path textboxrect="0,0,0,0"/>
                <v:imagedata r:id="rId121" o:title=""/>
              </v:shape>
            </w:pict>
          </mc:Fallback>
        </mc:AlternateContent>
      </w:r>
      <w:r>
        <w:t xml:space="preserve"> </w:t>
      </w:r>
      <w:r>
        <w:t xml:space="preserve">(Сохранить»)</w:t>
      </w:r>
      <w:r>
        <w:t xml:space="preserve">.</w:t>
      </w:r>
      <w:r/>
    </w:p>
    <w:p>
      <w:pPr>
        <w:pStyle w:val="1147"/>
        <w:numPr>
          <w:ilvl w:val="0"/>
          <w:numId w:val="1"/>
        </w:numPr>
      </w:pPr>
      <w:r>
        <w:t xml:space="preserve">Запустится операция импорта фай</w:t>
      </w:r>
      <w:r>
        <w:t xml:space="preserve">ла. В случае успешной загрузки </w:t>
      </w:r>
      <w:r>
        <w:t xml:space="preserve">в правом нижнем углу экрана появится сообщение о том, что импорт файла выполнен успешно</w:t>
      </w:r>
      <w:r>
        <w:t xml:space="preserve"> и откроется визуальная форма СДО с возможностью ее редактирования</w:t>
      </w:r>
      <w:r>
        <w:t xml:space="preserve">.</w:t>
      </w:r>
      <w:r/>
    </w:p>
    <w:p>
      <w:pPr>
        <w:pStyle w:val="965"/>
      </w:pPr>
      <w:r/>
      <w:bookmarkStart w:id="1106" w:name="_Ref486930066"/>
      <w:r/>
      <w:bookmarkStart w:id="1107" w:name="_Toc487028507"/>
      <w:r>
        <w:t xml:space="preserve">Создание СДО из списковой формы ПБО</w:t>
      </w:r>
      <w:bookmarkEnd w:id="1106"/>
      <w:r/>
      <w:bookmarkEnd w:id="1107"/>
      <w:r/>
      <w:r/>
    </w:p>
    <w:p>
      <w:pPr>
        <w:pStyle w:val="1147"/>
        <w:numPr>
          <w:ilvl w:val="0"/>
          <w:numId w:val="126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Бюджетные обязательства – </w:t>
      </w:r>
      <w:r>
        <w:t xml:space="preserve">Бюджетные обязательства – </w:t>
      </w:r>
      <w:r>
        <w:t xml:space="preserve">Перечень БО» (</w:t>
      </w:r>
      <w:r>
        <w:t xml:space="preserve">рис. </w:t>
      </w:r>
      <w:r>
        <w:fldChar w:fldCharType="begin"/>
      </w:r>
      <w:r>
        <w:instrText xml:space="preserve"> REF _Ref486929584 \h </w:instrText>
      </w:r>
      <w:r>
        <w:fldChar w:fldCharType="separate"/>
      </w:r>
      <w:r>
        <w:t xml:space="preserve">70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039110"/>
                <wp:effectExtent l="0" t="0" r="0" b="0"/>
                <wp:docPr id="106" name="Рисунок 68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6120130" cy="3039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mso-wrap-distance-left:0.0pt;mso-wrap-distance-top:0.0pt;mso-wrap-distance-right:0.0pt;mso-wrap-distance-bottom:0.0pt;width:481.9pt;height:239.3pt;" stroked="false">
                <v:path textboxrect="0,0,0,0"/>
                <v:imagedata r:id="rId12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08" w:name="_Ref486929584"/>
      <w:r/>
      <w:bookmarkStart w:id="1109" w:name="_Toc20229615"/>
      <w:r/>
      <w:bookmarkStart w:id="1110" w:name="_Toc59804525"/>
      <w:r>
        <w:t xml:space="preserve">70</w:t>
      </w:r>
      <w:bookmarkEnd w:id="1108"/>
      <w:r>
        <w:fldChar w:fldCharType="end"/>
      </w:r>
      <w:r>
        <w:t xml:space="preserve">. Пункт меню «Перечень БО»</w:t>
      </w:r>
      <w:bookmarkEnd w:id="1109"/>
      <w:r/>
      <w:bookmarkEnd w:id="1110"/>
      <w:r/>
      <w:r/>
    </w:p>
    <w:p>
      <w:pPr>
        <w:pStyle w:val="1147"/>
      </w:pPr>
      <w:r>
        <w:t xml:space="preserve">Выделить </w:t>
      </w:r>
      <w:r>
        <w:rPr>
          <w:rStyle w:val="1220"/>
        </w:rPr>
        <w:t xml:space="preserve">чекбоксом</w:t>
      </w:r>
      <w:r>
        <w:t xml:space="preserve"> строку, содержащую документ «Бюджетное обязательство», на основании которого требуется создать документа «Сведения о ДО» (</w:t>
      </w:r>
      <w:r>
        <w:t xml:space="preserve">рис. </w:t>
      </w:r>
      <w:r>
        <w:fldChar w:fldCharType="begin"/>
      </w:r>
      <w:r>
        <w:instrText xml:space="preserve"> REF _Ref486929689 \h </w:instrText>
      </w:r>
      <w:r>
        <w:fldChar w:fldCharType="separate"/>
      </w:r>
      <w:r>
        <w:t xml:space="preserve">71</w:t>
      </w:r>
      <w:r>
        <w:fldChar w:fldCharType="end"/>
      </w:r>
      <w:r>
        <w:t xml:space="preserve">)</w:t>
      </w:r>
      <w:r>
        <w:t xml:space="preserve">. 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963420"/>
                <wp:effectExtent l="0" t="0" r="0" b="0"/>
                <wp:docPr id="107" name="Рисунок 2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6120130" cy="1963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mso-wrap-distance-left:0.0pt;mso-wrap-distance-top:0.0pt;mso-wrap-distance-right:0.0pt;mso-wrap-distance-bottom:0.0pt;width:481.9pt;height:154.6pt;" stroked="false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11" w:name="_Ref486929689"/>
      <w:r/>
      <w:bookmarkStart w:id="1112" w:name="_Toc20229616"/>
      <w:r/>
      <w:bookmarkStart w:id="1113" w:name="_Toc59804526"/>
      <w:r>
        <w:t xml:space="preserve">71</w:t>
      </w:r>
      <w:bookmarkEnd w:id="1111"/>
      <w:r>
        <w:fldChar w:fldCharType="end"/>
      </w:r>
      <w:r>
        <w:t xml:space="preserve">. Создание документа «Сведения о ДО» из списковой формы Перечня БО</w:t>
      </w:r>
      <w:bookmarkEnd w:id="1112"/>
      <w:r/>
      <w:bookmarkEnd w:id="1113"/>
      <w:r/>
      <w:r/>
    </w:p>
    <w:p>
      <w:pPr>
        <w:pStyle w:val="1147"/>
      </w:pP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" cy="333375"/>
                <wp:effectExtent l="19050" t="0" r="0" b="0"/>
                <wp:docPr id="108" name="Рисунок 22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mso-wrap-distance-left:0.0pt;mso-wrap-distance-top:0.0pt;mso-wrap-distance-right:0.0pt;mso-wrap-distance-bottom:0.0pt;width:28.5pt;height:26.2pt;" stroked="f" strokeweight="0.75pt">
                <v:path textboxrect="0,0,0,0"/>
                <v:imagedata r:id="rId124" o:title=""/>
              </v:shape>
            </w:pict>
          </mc:Fallback>
        </mc:AlternateContent>
      </w:r>
      <w:r>
        <w:t xml:space="preserve"> (</w:t>
      </w:r>
      <w:r>
        <w:t xml:space="preserve">Создать сведения </w:t>
      </w:r>
      <w:r>
        <w:t xml:space="preserve">о </w:t>
      </w:r>
      <w:r>
        <w:t xml:space="preserve">ДО</w:t>
      </w:r>
      <w:r>
        <w:t xml:space="preserve">) (</w:t>
      </w:r>
      <w:r>
        <w:t xml:space="preserve">рис. </w:t>
      </w:r>
      <w:r>
        <w:fldChar w:fldCharType="begin"/>
      </w:r>
      <w:r>
        <w:instrText xml:space="preserve"> REF _Ref486929715 \h </w:instrText>
      </w:r>
      <w:r>
        <w:instrText xml:space="preserve"> \* MERGEFORMAT </w:instrText>
      </w:r>
      <w:r>
        <w:fldChar w:fldCharType="separate"/>
      </w:r>
      <w:r>
        <w:t xml:space="preserve">72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48050" cy="1847850"/>
                <wp:effectExtent l="0" t="0" r="0" b="0"/>
                <wp:docPr id="109" name="Рисунок 22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3448050" cy="184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mso-wrap-distance-left:0.0pt;mso-wrap-distance-top:0.0pt;mso-wrap-distance-right:0.0pt;mso-wrap-distance-bottom:0.0pt;width:271.5pt;height:145.5pt;" stroked="false">
                <v:path textboxrect="0,0,0,0"/>
                <v:imagedata r:id="rId125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14" w:name="_Ref486929715"/>
      <w:r/>
      <w:bookmarkStart w:id="1115" w:name="_Toc20229617"/>
      <w:r/>
      <w:bookmarkStart w:id="1116" w:name="_Toc59804527"/>
      <w:r>
        <w:t xml:space="preserve">72</w:t>
      </w:r>
      <w:bookmarkEnd w:id="1114"/>
      <w:r>
        <w:fldChar w:fldCharType="end"/>
      </w:r>
      <w:r>
        <w:t xml:space="preserve">. Создание документа «Сведения о ДО» из Перечня БО</w:t>
      </w:r>
      <w:bookmarkEnd w:id="1115"/>
      <w:r/>
      <w:bookmarkEnd w:id="1116"/>
      <w:r/>
      <w:r/>
    </w:p>
    <w:p>
      <w:pPr>
        <w:pStyle w:val="965"/>
      </w:pPr>
      <w:r/>
      <w:bookmarkStart w:id="1117" w:name="_Ref486930074"/>
      <w:r/>
      <w:bookmarkStart w:id="1118" w:name="_Toc487028508"/>
      <w:r>
        <w:t xml:space="preserve">Создание СДО из визуальной формы ПБО из Графика платежей</w:t>
      </w:r>
      <w:bookmarkEnd w:id="1117"/>
      <w:r/>
      <w:bookmarkEnd w:id="1118"/>
      <w:r/>
      <w:r/>
    </w:p>
    <w:p>
      <w:pPr>
        <w:pStyle w:val="1147"/>
        <w:numPr>
          <w:ilvl w:val="0"/>
          <w:numId w:val="4"/>
        </w:numPr>
      </w:pPr>
      <w:r>
        <w:t xml:space="preserve">Выбрать пункт меню «Бюджетные обязательства – Перечень БО».</w:t>
      </w:r>
      <w:r/>
    </w:p>
    <w:p>
      <w:pPr>
        <w:pStyle w:val="1147"/>
        <w:numPr>
          <w:ilvl w:val="0"/>
          <w:numId w:val="1"/>
        </w:numPr>
      </w:pPr>
      <w:r>
        <w:t xml:space="preserve">На </w:t>
      </w:r>
      <w:r>
        <w:t xml:space="preserve">списковой форме</w:t>
      </w:r>
      <w:r>
        <w:t xml:space="preserve"> выбрать нужный документ и открыть его.</w:t>
      </w:r>
      <w:r/>
    </w:p>
    <w:p>
      <w:pPr>
        <w:pStyle w:val="1147"/>
        <w:numPr>
          <w:ilvl w:val="0"/>
          <w:numId w:val="1"/>
        </w:numPr>
      </w:pPr>
      <w:r>
        <w:t xml:space="preserve">Перейти на вкладку «График платежей»</w:t>
      </w:r>
      <w:r>
        <w:t xml:space="preserve">.</w:t>
      </w:r>
      <w:r/>
    </w:p>
    <w:p>
      <w:pPr>
        <w:pStyle w:val="1147"/>
        <w:numPr>
          <w:ilvl w:val="0"/>
          <w:numId w:val="1"/>
        </w:numPr>
      </w:pPr>
      <w:r>
        <w:t xml:space="preserve">Из таблицы «График платежей» выбрать нужную строку и </w:t>
      </w:r>
      <w:r>
        <w:t xml:space="preserve">нажать кнопку «</w:t>
      </w:r>
      <w:r>
        <w:t xml:space="preserve">Создать сведения о ДО</w:t>
      </w:r>
      <w:r>
        <w:t xml:space="preserve">»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3850" cy="285750"/>
                <wp:effectExtent l="19050" t="0" r="0" b="0"/>
                <wp:docPr id="110" name="Рисунок 23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0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mso-wrap-distance-left:0.0pt;mso-wrap-distance-top:0.0pt;mso-wrap-distance-right:0.0pt;mso-wrap-distance-bottom:0.0pt;width:25.5pt;height:22.5pt;" stroked="f" strokeweight="0.75pt">
                <v:path textboxrect="0,0,0,0"/>
                <v:imagedata r:id="rId126" o:title=""/>
              </v:shape>
            </w:pict>
          </mc:Fallback>
        </mc:AlternateContent>
      </w:r>
      <w:r>
        <w:t xml:space="preserve">.</w:t>
      </w:r>
      <w:r/>
    </w:p>
    <w:p>
      <w:pPr>
        <w:pStyle w:val="1147"/>
        <w:numPr>
          <w:ilvl w:val="0"/>
          <w:numId w:val="1"/>
        </w:numPr>
      </w:pPr>
      <w:r>
        <w:t xml:space="preserve">Откроется окно формуляра «Сведения о ДО» с реквизитами из формуляра </w:t>
      </w:r>
      <w:r>
        <w:t xml:space="preserve">«</w:t>
      </w:r>
      <w:r>
        <w:t xml:space="preserve">Перечень БО</w:t>
      </w:r>
      <w:r>
        <w:t xml:space="preserve">»</w:t>
      </w:r>
      <w:r>
        <w:t xml:space="preserve">.</w:t>
      </w:r>
      <w:r/>
    </w:p>
    <w:p>
      <w:pPr>
        <w:pStyle w:val="965"/>
      </w:pPr>
      <w:r/>
      <w:bookmarkStart w:id="1119" w:name="_Ref486930850"/>
      <w:r/>
      <w:bookmarkStart w:id="1120" w:name="_Toc487028509"/>
      <w:r>
        <w:t xml:space="preserve">Создание СДО по кнопке «Создать новую версию документа»</w:t>
      </w:r>
      <w:bookmarkEnd w:id="1119"/>
      <w:r/>
      <w:bookmarkEnd w:id="1120"/>
      <w:r/>
      <w:r/>
    </w:p>
    <w:p>
      <w:pPr>
        <w:pStyle w:val="985"/>
      </w:pPr>
      <w:r>
        <w:t xml:space="preserve">Создание новой версии документа может потребоваться для документа, прошедшего или не прошедшего согласование в ФК.</w:t>
      </w:r>
      <w:r/>
    </w:p>
    <w:p>
      <w:pPr>
        <w:pStyle w:val="986"/>
      </w:pPr>
      <w:r>
        <w:t xml:space="preserve">Для создания новой версии документа необходимо выполнить следующие действия:</w:t>
      </w:r>
      <w:r/>
    </w:p>
    <w:p>
      <w:pPr>
        <w:pStyle w:val="1147"/>
        <w:numPr>
          <w:ilvl w:val="0"/>
          <w:numId w:val="5"/>
        </w:numPr>
      </w:pPr>
      <w:r>
        <w:t xml:space="preserve">Выбрать в пункте меню «Все документы» («Управление расходами – </w:t>
      </w:r>
      <w:r>
        <w:t xml:space="preserve">Все сервисы – Управление расходами 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</w:t>
      </w:r>
      <w:r>
        <w:t xml:space="preserve">Сведения о </w:t>
      </w:r>
      <w:r>
        <w:t xml:space="preserve">денежных обязательствах</w:t>
      </w:r>
      <w:r>
        <w:t xml:space="preserve">») документ на статусе «Утвержден», в который необходимо внести изменения (</w:t>
      </w:r>
      <w:r>
        <w:t xml:space="preserve">рис. </w:t>
      </w:r>
      <w:r>
        <w:fldChar w:fldCharType="begin"/>
      </w:r>
      <w:r>
        <w:instrText xml:space="preserve"> REF _Ref486930520 \h </w:instrText>
      </w:r>
      <w:r>
        <w:fldChar w:fldCharType="separate"/>
      </w:r>
      <w:r>
        <w:t xml:space="preserve">73</w:t>
      </w:r>
      <w:r>
        <w:fldChar w:fldCharType="end"/>
      </w:r>
      <w:r>
        <w:t xml:space="preserve">).</w:t>
      </w:r>
      <w:r/>
    </w:p>
    <w:p>
      <w:pPr>
        <w:pStyle w:val="1147"/>
        <w:numPr>
          <w:ilvl w:val="0"/>
          <w:numId w:val="1"/>
        </w:numPr>
      </w:pPr>
      <w:r>
        <w:t xml:space="preserve">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85750"/>
                <wp:effectExtent l="19050" t="0" r="9525" b="0"/>
                <wp:docPr id="111" name="Рисунок 23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3143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mso-wrap-distance-left:0.0pt;mso-wrap-distance-top:0.0pt;mso-wrap-distance-right:0.0pt;mso-wrap-distance-bottom:0.0pt;width:24.8pt;height:22.5pt;" stroked="f" strokeweight="0.75pt">
                <v:path textboxrect="0,0,0,0"/>
                <v:imagedata r:id="rId127" o:title=""/>
              </v:shape>
            </w:pict>
          </mc:Fallback>
        </mc:AlternateContent>
      </w:r>
      <w:r>
        <w:t xml:space="preserve"> (</w:t>
      </w:r>
      <w:r>
        <w:t xml:space="preserve">«</w:t>
      </w:r>
      <w:r>
        <w:t xml:space="preserve">Создать новую версию документа</w:t>
      </w:r>
      <w:r>
        <w:t xml:space="preserve">»</w:t>
      </w:r>
      <w:r>
        <w:t xml:space="preserve">).</w:t>
      </w:r>
      <w:r/>
    </w:p>
    <w:p>
      <w:pPr>
        <w:pStyle w:val="982"/>
      </w:pPr>
      <w:r>
        <w:t xml:space="preserve">Будет создан новый формуляр на статусе «Новый». В документе будет проставлена связь с предыдущей версией формуляра. Для документа, созданного на основании формуляра, включённого в реестр, значение реквизита «Тип документа» будет установлено на «Изменение».</w:t>
      </w:r>
      <w:r/>
    </w:p>
    <w:p>
      <w:pPr>
        <w:pStyle w:val="982"/>
      </w:pPr>
      <w:r>
        <w:t xml:space="preserve">С формуляра предыдущей версии будет снят атрибут актуальности, неактуальная версия документа будет перенесена в архив. Актуальным документом будет новая версия формуляра.</w:t>
      </w:r>
      <w:r/>
    </w:p>
    <w:p>
      <w:pPr>
        <w:pStyle w:val="1147"/>
        <w:numPr>
          <w:ilvl w:val="0"/>
          <w:numId w:val="1"/>
        </w:numPr>
      </w:pPr>
      <w:r>
        <w:t xml:space="preserve">Внести вручную необходимые изменения.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00725" cy="2219325"/>
                <wp:effectExtent l="19050" t="0" r="9525" b="0"/>
                <wp:docPr id="112" name="Рисунок 23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5800725" cy="2219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mso-wrap-distance-left:0.0pt;mso-wrap-distance-top:0.0pt;mso-wrap-distance-right:0.0pt;mso-wrap-distance-bottom:0.0pt;width:456.8pt;height:174.8pt;" stroked="f" strokeweight="0.75pt">
                <v:path textboxrect="0,0,0,0"/>
                <v:imagedata r:id="rId128" o:title=""/>
              </v:shape>
            </w:pict>
          </mc:Fallback>
        </mc:AlternateContent>
      </w:r>
      <w:r/>
    </w:p>
    <w:p>
      <w:pPr>
        <w:pStyle w:val="974"/>
      </w:pPr>
      <w:r/>
      <w:bookmarkStart w:id="1121" w:name="_Ref486930520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22" w:name="_Toc20229618"/>
      <w:r/>
      <w:bookmarkStart w:id="1123" w:name="_Toc59804528"/>
      <w:r>
        <w:t xml:space="preserve">73</w:t>
      </w:r>
      <w:r>
        <w:fldChar w:fldCharType="end"/>
      </w:r>
      <w:bookmarkEnd w:id="1121"/>
      <w:r>
        <w:t xml:space="preserve">. Создание СДО по кнопке «Создать новую версию документа»</w:t>
      </w:r>
      <w:bookmarkEnd w:id="1122"/>
      <w:r/>
      <w:bookmarkEnd w:id="1123"/>
      <w:r/>
      <w:r/>
    </w:p>
    <w:p>
      <w:pPr>
        <w:pStyle w:val="965"/>
      </w:pPr>
      <w:r/>
      <w:bookmarkStart w:id="1124" w:name="_Ref37937725"/>
      <w:r>
        <w:t xml:space="preserve">Заполнение документа «Сведения о денежных обязательствах»</w:t>
      </w:r>
      <w:bookmarkEnd w:id="1124"/>
      <w:r/>
      <w:r/>
    </w:p>
    <w:p>
      <w:pPr>
        <w:pStyle w:val="986"/>
        <w:rPr>
          <w:rStyle w:val="992"/>
        </w:rPr>
      </w:pPr>
      <w:r>
        <w:rPr>
          <w:rStyle w:val="992"/>
        </w:rPr>
        <w:t xml:space="preserve">Вкладка «Сведения о ДО»</w:t>
      </w:r>
      <w:r/>
    </w:p>
    <w:p>
      <w:pPr>
        <w:pStyle w:val="986"/>
      </w:pPr>
      <w:r>
        <w:t xml:space="preserve">После создания нового документа, </w:t>
      </w:r>
      <w:r>
        <w:t xml:space="preserve">необходимо на визуальной форме</w:t>
      </w:r>
      <w:r>
        <w:t xml:space="preserve"> (рис. </w:t>
      </w:r>
      <w:r>
        <w:fldChar w:fldCharType="begin"/>
      </w:r>
      <w:r>
        <w:instrText xml:space="preserve"> REF _Ref25233354 \h </w:instrText>
      </w:r>
      <w:r>
        <w:fldChar w:fldCharType="separate"/>
      </w:r>
      <w:r>
        <w:t xml:space="preserve">74</w:t>
      </w:r>
      <w:r>
        <w:fldChar w:fldCharType="end"/>
      </w:r>
      <w:r>
        <w:t xml:space="preserve">)</w:t>
      </w:r>
      <w:r>
        <w:t xml:space="preserve"> </w:t>
      </w:r>
      <w:r>
        <w:t xml:space="preserve">нажать кнопку </w:t>
      </w:r>
      <w:r>
        <w:t xml:space="preserve">выбора из «БО» и выбрать из перечня БО необходимую запись. Н</w:t>
      </w:r>
      <w:r>
        <w:t xml:space="preserve">а основании связанного документа «Бюджетное обязательство»</w:t>
      </w:r>
      <w:r>
        <w:t xml:space="preserve">,</w:t>
      </w:r>
      <w:r>
        <w:t xml:space="preserve"> автоматически заполнятся следующие </w:t>
      </w:r>
      <w:r>
        <w:t xml:space="preserve">реквизиты</w:t>
      </w:r>
      <w:r>
        <w:t xml:space="preserve">: </w:t>
      </w:r>
      <w:r/>
    </w:p>
    <w:p>
      <w:pPr>
        <w:pStyle w:val="976"/>
      </w:pPr>
      <w:r>
        <w:t xml:space="preserve">в разделе «Основная информация»:</w:t>
      </w:r>
      <w:bookmarkEnd w:id="1104"/>
      <w:bookmarkEnd w:id="1105"/>
      <w:r/>
    </w:p>
    <w:p>
      <w:pPr>
        <w:pStyle w:val="977"/>
      </w:pPr>
      <w:r>
        <w:t xml:space="preserve">«</w:t>
      </w:r>
      <w:r>
        <w:t xml:space="preserve">Статус документа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Тип сведений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Номер сведений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Номер изменения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Дата сведений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Учетный номер БО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Код валюты по ОКВ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Источник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Сформировано</w:t>
      </w:r>
      <w:r>
        <w:t xml:space="preserve">»;</w:t>
      </w:r>
      <w:r/>
    </w:p>
    <w:p>
      <w:pPr>
        <w:pStyle w:val="976"/>
      </w:pPr>
      <w:r>
        <w:t xml:space="preserve">в разделе «Получатель бюджетных средств»:</w:t>
      </w:r>
      <w:r/>
    </w:p>
    <w:p>
      <w:pPr>
        <w:pStyle w:val="977"/>
      </w:pPr>
      <w:r>
        <w:t xml:space="preserve">«</w:t>
      </w:r>
      <w:r>
        <w:t xml:space="preserve">Наименование бюджета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Код бюджета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Код по ОКТМО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Финансовый орган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Код по ОКПО финансового органа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Наименование ГРБС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Глава по БК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Получатель бюджетных средств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Код по Сводному реестру</w:t>
      </w:r>
      <w:r>
        <w:t xml:space="preserve">»;</w:t>
      </w:r>
      <w:r/>
    </w:p>
    <w:p>
      <w:pPr>
        <w:pStyle w:val="977"/>
      </w:pPr>
      <w:r>
        <w:t xml:space="preserve">«</w:t>
      </w:r>
      <w:r>
        <w:t xml:space="preserve">Код ОКПО УБП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Номер лицевого счета</w:t>
      </w:r>
      <w:r>
        <w:t xml:space="preserve">»;</w:t>
      </w:r>
      <w:r/>
    </w:p>
    <w:p>
      <w:pPr>
        <w:pStyle w:val="977"/>
      </w:pPr>
      <w:r>
        <w:t xml:space="preserve">«</w:t>
      </w:r>
      <w:r>
        <w:t xml:space="preserve">Наименование ТОФК</w:t>
      </w:r>
      <w:r>
        <w:t xml:space="preserve">»</w:t>
      </w:r>
      <w:r>
        <w:t xml:space="preserve">;</w:t>
      </w:r>
      <w:r/>
    </w:p>
    <w:p>
      <w:pPr>
        <w:pStyle w:val="977"/>
      </w:pPr>
      <w:r>
        <w:t xml:space="preserve">«</w:t>
      </w:r>
      <w:r>
        <w:t xml:space="preserve">Код ТОФК</w:t>
      </w:r>
      <w:r>
        <w:t xml:space="preserve">».</w:t>
      </w:r>
      <w:r/>
    </w:p>
    <w:p>
      <w:pPr>
        <w:pStyle w:val="986"/>
      </w:pPr>
      <w:r>
        <w:t xml:space="preserve">Раздел «Реквизиты документа, подтверждающего возникновение денежного обязательства» заполняется пользователем вручную. Заполняются </w:t>
      </w:r>
      <w:r>
        <w:rPr>
          <w:rStyle w:val="1220"/>
        </w:rPr>
        <w:t xml:space="preserve">реквизиты</w:t>
      </w:r>
      <w:r>
        <w:t xml:space="preserve">:</w:t>
      </w:r>
      <w:r/>
    </w:p>
    <w:p>
      <w:pPr>
        <w:pStyle w:val="976"/>
      </w:pPr>
      <w:r>
        <w:t xml:space="preserve">«</w:t>
      </w:r>
      <w:r>
        <w:t xml:space="preserve">Вид документа</w:t>
      </w:r>
      <w:r>
        <w:t xml:space="preserve">»</w:t>
      </w:r>
      <w:r>
        <w:t xml:space="preserve">;</w:t>
      </w:r>
      <w:r/>
    </w:p>
    <w:p>
      <w:pPr>
        <w:pStyle w:val="976"/>
      </w:pPr>
      <w:r>
        <w:t xml:space="preserve">«</w:t>
      </w:r>
      <w:r>
        <w:t xml:space="preserve">Предмет по документу</w:t>
      </w:r>
      <w:r>
        <w:t xml:space="preserve">»</w:t>
      </w:r>
      <w:r>
        <w:t xml:space="preserve">;</w:t>
      </w:r>
      <w:r/>
    </w:p>
    <w:p>
      <w:pPr>
        <w:pStyle w:val="976"/>
      </w:pPr>
      <w:r>
        <w:t xml:space="preserve">«</w:t>
      </w:r>
      <w:r>
        <w:t xml:space="preserve">Сумма в валюте обязательства</w:t>
      </w:r>
      <w:r>
        <w:t xml:space="preserve">»</w:t>
      </w:r>
      <w:r>
        <w:t xml:space="preserve">;</w:t>
      </w:r>
      <w:r/>
    </w:p>
    <w:p>
      <w:pPr>
        <w:pStyle w:val="976"/>
      </w:pPr>
      <w:r>
        <w:t xml:space="preserve">«</w:t>
      </w:r>
      <w:r>
        <w:t xml:space="preserve">Номер документа</w:t>
      </w:r>
      <w:r>
        <w:t xml:space="preserve">»</w:t>
      </w:r>
      <w:r>
        <w:t xml:space="preserve">;</w:t>
      </w:r>
      <w:r/>
    </w:p>
    <w:p>
      <w:pPr>
        <w:pStyle w:val="976"/>
      </w:pPr>
      <w:r>
        <w:t xml:space="preserve">«</w:t>
      </w:r>
      <w:r>
        <w:t xml:space="preserve">Дата документа</w:t>
      </w:r>
      <w:r>
        <w:t xml:space="preserve">»</w:t>
      </w:r>
      <w:r>
        <w:t xml:space="preserve">;</w:t>
      </w:r>
      <w:r/>
    </w:p>
    <w:p>
      <w:pPr>
        <w:pStyle w:val="976"/>
      </w:pPr>
      <w:r>
        <w:t xml:space="preserve">«</w:t>
      </w:r>
      <w:r>
        <w:t xml:space="preserve">Признак авансового платежа</w:t>
      </w:r>
      <w:r>
        <w:t xml:space="preserve">»</w:t>
      </w:r>
      <w:r>
        <w:t xml:space="preserve">.</w:t>
      </w:r>
      <w:r/>
    </w:p>
    <w:p>
      <w:pPr>
        <w:pStyle w:val="1020"/>
      </w:pPr>
      <w:r>
        <w:t xml:space="preserve">Поле «Признак авансового платежа» заполняется вручную посредством выбора значения из списка: «Да» или «Нет».</w:t>
      </w:r>
      <w:r/>
    </w:p>
    <w:p>
      <w:pPr>
        <w:pStyle w:val="1020"/>
      </w:pPr>
      <w:r>
        <w:t xml:space="preserve">Раздел «Подписи» заполняется автоматически посл</w:t>
      </w:r>
      <w:r>
        <w:t xml:space="preserve">е подписания пользователем </w:t>
      </w:r>
      <w:r>
        <w:t xml:space="preserve">ПБС.</w:t>
      </w:r>
      <w:r/>
    </w:p>
    <w:p>
      <w:pPr>
        <w:pStyle w:val="1020"/>
      </w:pPr>
      <w:r>
        <w:t xml:space="preserve">Раздел «Вложения» заполняется пользов</w:t>
      </w:r>
      <w:r>
        <w:t xml:space="preserve">ателем путем прикрепления файла</w:t>
      </w:r>
      <w:r>
        <w:rPr>
          <w:rStyle w:val="1220"/>
        </w:rPr>
        <w:t xml:space="preserve">(-ов).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667760"/>
                <wp:effectExtent l="0" t="0" r="0" b="0"/>
                <wp:docPr id="113" name="Рисунок 2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6120130" cy="3667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mso-wrap-distance-left:0.0pt;mso-wrap-distance-top:0.0pt;mso-wrap-distance-right:0.0pt;mso-wrap-distance-bottom:0.0pt;width:481.9pt;height:288.8pt;" stroked="false">
                <v:path textboxrect="0,0,0,0"/>
                <v:imagedata r:id="rId129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25" w:name="_Ref25233354"/>
      <w:r/>
      <w:bookmarkStart w:id="1126" w:name="_Toc25747076"/>
      <w:r/>
      <w:bookmarkStart w:id="1127" w:name="_Toc37689578"/>
      <w:r/>
      <w:bookmarkStart w:id="1128" w:name="_Toc59804529"/>
      <w:r>
        <w:t xml:space="preserve">74</w:t>
      </w:r>
      <w:bookmarkEnd w:id="1125"/>
      <w:r>
        <w:fldChar w:fldCharType="end"/>
      </w:r>
      <w:r>
        <w:t xml:space="preserve">. </w:t>
      </w:r>
      <w:bookmarkEnd w:id="1126"/>
      <w:r/>
      <w:bookmarkEnd w:id="1127"/>
      <w:r>
        <w:t xml:space="preserve">Экземпляр формуляра «Сведения о ДО», вкладка «Сведения о ДО»</w:t>
      </w:r>
      <w:bookmarkEnd w:id="1128"/>
      <w:r/>
      <w:r/>
    </w:p>
    <w:p>
      <w:pPr>
        <w:pStyle w:val="986"/>
        <w:rPr>
          <w:rStyle w:val="992"/>
        </w:rPr>
      </w:pPr>
      <w:r>
        <w:rPr>
          <w:rStyle w:val="992"/>
        </w:rPr>
        <w:t xml:space="preserve">Вкладка «Расшифровка суммы обязательства»</w:t>
      </w:r>
      <w:r/>
    </w:p>
    <w:p>
      <w:pPr>
        <w:pStyle w:val="985"/>
      </w:pPr>
      <w:r>
        <w:t xml:space="preserve">Описание реквизитов</w:t>
      </w:r>
      <w:r>
        <w:t xml:space="preserve"> вкладки «Расшифровка суммы обязательства» </w:t>
      </w:r>
      <w:r>
        <w:t xml:space="preserve">(рис. </w:t>
      </w:r>
      <w:r>
        <w:fldChar w:fldCharType="begin"/>
      </w:r>
      <w:r>
        <w:instrText xml:space="preserve"> REF _Ref25234021 \h  \* MERGEFORMAT </w:instrText>
      </w:r>
      <w:r>
        <w:fldChar w:fldCharType="separate"/>
      </w:r>
      <w:r>
        <w:t xml:space="preserve">75</w:t>
      </w:r>
      <w:r>
        <w:fldChar w:fldCharType="end"/>
      </w:r>
      <w:r>
        <w:t xml:space="preserve">) </w:t>
      </w:r>
      <w:r>
        <w:t xml:space="preserve">приведено </w:t>
      </w:r>
      <w:r>
        <w:t xml:space="preserve">в таблице </w:t>
      </w:r>
      <w:r>
        <w:fldChar w:fldCharType="begin"/>
      </w:r>
      <w:r>
        <w:instrText xml:space="preserve"> REF _Ref536829844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.</w:t>
      </w:r>
      <w:r/>
    </w:p>
    <w:p>
      <w:pPr>
        <w:pStyle w:val="984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29" w:name="_Ref536829844"/>
      <w:r/>
      <w:bookmarkStart w:id="1130" w:name="_Toc20229546"/>
      <w:r/>
      <w:bookmarkStart w:id="1131" w:name="_Toc59804453"/>
      <w:r>
        <w:t xml:space="preserve">7</w:t>
      </w:r>
      <w:bookmarkEnd w:id="1129"/>
      <w:r>
        <w:fldChar w:fldCharType="end"/>
      </w:r>
      <w:r>
        <w:t xml:space="preserve">. Описание реквизитов</w:t>
      </w:r>
      <w:r>
        <w:t xml:space="preserve"> вкладки «Расшифровка суммы обязательства»</w:t>
      </w:r>
      <w:bookmarkEnd w:id="1130"/>
      <w:r/>
      <w:bookmarkEnd w:id="1131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3384"/>
        <w:gridCol w:w="6310"/>
      </w:tblGrid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7"/>
            </w:pPr>
            <w:r>
              <w:t xml:space="preserve">Наименование поля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7"/>
            </w:pPr>
            <w:r>
              <w:t xml:space="preserve">Описание правил заполнения поля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Код строки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Код объекта ФАИП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путем выбора из значений, заполненных в экземпляре формуляра «Бюджетное обязательство». Выбор значения ограничивается значениями, выбранными ранее.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Наименование объекта ФАИП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</w:t>
            </w:r>
            <w:r>
              <w:t xml:space="preserve">автоматически после </w:t>
            </w:r>
            <w:r>
              <w:t xml:space="preserve">указания к</w:t>
            </w:r>
            <w:r>
              <w:t xml:space="preserve">ода объекта ФАИП.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Вид средств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путем выбора из возможных значений, заполненных в экземпляре формуляра «Бюджетное обязательство».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КБК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путем выбора из значений, заполненных в экземпляре формуляра «Бюджетное обязательство». Выбор значения ограничивается значениями, выбранными ранее.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Аналитический код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путем выбора из значений, заполненных в экземпляре формуляра «Бюджетное обязательство». Выбор значения ограничивается значениями, выбранными ранее.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Сумма в валюте выплаты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 значением</w:t>
            </w:r>
            <w:r>
              <w:t xml:space="preserve">,</w:t>
            </w:r>
            <w:r>
              <w:t xml:space="preserve"> указанным в экземпляре формуляра «Бюджетное обязательство». Значение может быть изменено пользователем.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Код валюты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 на основании значения реквизита «Код валюты по ОКВ» раздела «Реквизиты документа-основания».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Сумма в рублевом эквиваленте по документу, подтверждающему возникновение денежного обязательства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вручную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В т.ч. перечислено аванса по бюджетному обязательству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пользователем вручную.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Итого сумма по документу, подтверждающему возникновение денежного обязательства.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384" w:type="dxa"/>
            <w:textDirection w:val="lrTb"/>
            <w:noWrap w:val="false"/>
          </w:tcPr>
          <w:p>
            <w:pPr>
              <w:pStyle w:val="996"/>
            </w:pPr>
            <w:r>
              <w:t xml:space="preserve">Итого перечислено аванса</w:t>
            </w:r>
            <w:r>
              <w:t xml:space="preserve"> </w:t>
            </w:r>
            <w:r>
              <w:t xml:space="preserve">по бюджетному обязательству</w:t>
            </w:r>
            <w:r/>
          </w:p>
        </w:tc>
        <w:tc>
          <w:tcPr>
            <w:tcW w:w="631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</w:tbl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159000"/>
                <wp:effectExtent l="0" t="0" r="0" b="0"/>
                <wp:docPr id="114" name="Рисунок 68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6120130" cy="2159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mso-wrap-distance-left:0.0pt;mso-wrap-distance-top:0.0pt;mso-wrap-distance-right:0.0pt;mso-wrap-distance-bottom:0.0pt;width:481.9pt;height:170.0pt;" stroked="false">
                <v:path textboxrect="0,0,0,0"/>
                <v:imagedata r:id="rId13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32" w:name="_Ref25234021"/>
      <w:r/>
      <w:bookmarkStart w:id="1133" w:name="_Toc25747077"/>
      <w:r/>
      <w:bookmarkStart w:id="1134" w:name="_Toc37689579"/>
      <w:r/>
      <w:bookmarkStart w:id="1135" w:name="_Toc59804530"/>
      <w:r>
        <w:t xml:space="preserve">75</w:t>
      </w:r>
      <w:bookmarkEnd w:id="1132"/>
      <w:r>
        <w:fldChar w:fldCharType="end"/>
      </w:r>
      <w:r>
        <w:t xml:space="preserve">. </w:t>
      </w:r>
      <w:bookmarkEnd w:id="1133"/>
      <w:r/>
      <w:bookmarkEnd w:id="1134"/>
      <w:r>
        <w:t xml:space="preserve">Экземпляр формуляра «Сведения о ДО», вкладка «Расшифровка суммы обязательства»</w:t>
      </w:r>
      <w:bookmarkEnd w:id="1135"/>
      <w:r/>
      <w:r/>
    </w:p>
    <w:p>
      <w:pPr>
        <w:pStyle w:val="986"/>
        <w:rPr>
          <w:rStyle w:val="992"/>
        </w:rPr>
      </w:pPr>
      <w:r>
        <w:rPr>
          <w:rStyle w:val="992"/>
        </w:rPr>
        <w:t xml:space="preserve">Вкладка «Документы-основания»</w:t>
      </w:r>
      <w:r/>
    </w:p>
    <w:p>
      <w:pPr>
        <w:pStyle w:val="985"/>
      </w:pPr>
      <w:r>
        <w:t xml:space="preserve">Описание реквизитов</w:t>
      </w:r>
      <w:r>
        <w:t xml:space="preserve"> вкладки «Документы-основания» </w:t>
      </w:r>
      <w:r>
        <w:t xml:space="preserve">(рис. </w:t>
      </w:r>
      <w:r>
        <w:fldChar w:fldCharType="begin"/>
      </w:r>
      <w:r>
        <w:instrText xml:space="preserve"> REF _Ref25745725 \h </w:instrText>
      </w:r>
      <w:r>
        <w:fldChar w:fldCharType="separate"/>
      </w:r>
      <w:r>
        <w:t xml:space="preserve">76</w:t>
      </w:r>
      <w:r>
        <w:fldChar w:fldCharType="end"/>
      </w:r>
      <w:r>
        <w:t xml:space="preserve">) </w:t>
      </w:r>
      <w:r>
        <w:t xml:space="preserve">приведено</w:t>
      </w:r>
      <w:r>
        <w:t xml:space="preserve"> в таблице </w:t>
      </w:r>
      <w:r>
        <w:fldChar w:fldCharType="begin"/>
      </w:r>
      <w:r>
        <w:instrText xml:space="preserve"> REF _Ref37933273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.</w:t>
      </w:r>
      <w:r>
        <w:t xml:space="preserve"> Раздел «Дополнительные сведения по документу – основанию» отображается только если есть данные для отображения.</w:t>
      </w:r>
      <w:r/>
    </w:p>
    <w:p>
      <w:pPr>
        <w:pStyle w:val="984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36" w:name="_Ref37933273"/>
      <w:r/>
      <w:bookmarkStart w:id="1137" w:name="_Toc59804454"/>
      <w:r>
        <w:t xml:space="preserve">8</w:t>
      </w:r>
      <w:bookmarkEnd w:id="1136"/>
      <w:r>
        <w:fldChar w:fldCharType="end"/>
      </w:r>
      <w:r>
        <w:t xml:space="preserve">. Описание реквизитов вкладки «Документы-основания»</w:t>
      </w:r>
      <w:bookmarkEnd w:id="1137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2438"/>
        <w:gridCol w:w="7256"/>
      </w:tblGrid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7"/>
            </w:pPr>
            <w:r>
              <w:t xml:space="preserve">Наименование поля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7"/>
            </w:pPr>
            <w:r>
              <w:t xml:space="preserve">Описание правил заполнения поля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GUID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Уникальный идентификатор вложения.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Тип вложения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Тип вложения.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Файл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Наименование файла.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файла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вложения файла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Размер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Размер файла.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Комментарий 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Комментарий к вложению.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Раздел «Дополнительные сведения по документу – основанию» (отображается только если есть данные для отображения)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«Общие сведения по документу-основанию»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Номер счета - фактуры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«Номер счета – фактуры».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счета - фактуры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«Дата счета – фактуры».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«Сведения о поставщике»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Наименование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«Наименование» организации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Фамилия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«Фамилия»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Имя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«Имя»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Отчество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«Отчество»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Признак ИП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Выставляется чек-бокс «Признак ИП». Заполняется значением соответствующего реквизита из полученного из ЕИС (ПУЗ) СДО. Если значение реквизита = да, то в чек-боксе выставляется галочка (активен), иначе чек-бокс - пустой.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ИНН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«ИНН»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Аналог ИНН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«Аналог ИНН» поставщика. Заполняется значением соответствующего реквизита из полученного из ЕИС (ПУЗ) СДО. Заполняется только для иностранных поставщиков.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КПП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«КПП»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Адрес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«Адрес»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«Банковские реквизиты поставщика»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Номер лицевого счета ФК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«Номер ЛС ФК».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Номер банковского счета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«Номер банковского счета» поставщика.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Наименование банка (иной организации), в котором (-ой) открыт счет контрагенту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«Наименование банка (иной организации), в котором (-ой) открыт счет контрагенту».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БИК банка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«БИК банка» контрагента (получателя субсидии, взыскателя).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Корреспондентский счет банка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«Кор. счет банка» контрагента (получателя субсидии, взыскателя).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«Сведения о товарах, работах, услугах (ТРУ)»</w:t>
            </w:r>
            <w:r>
              <w:rPr>
                <w:b/>
              </w:rPr>
              <w:t xml:space="preserve">. Табличная часть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Идентификатор ТРУ в ГК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«Идентификатор ТРУ в ГК».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Наименование работы, товара, услуги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«Наименование ТРУ».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Код единицы измерения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«Код единицы измерения».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Условное обозначение единицы измерения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«Условное обозначение единицы измерения».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Цена за единицу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«Цена за единицу».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Цена за единицу, без НДС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«Цена за единицу (без НДС)».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Количество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«Количество».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Сумма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«Сумма».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Сумма, без НДС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«Сумма (без НДС)».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Ставка НДС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ind w:firstLine="0"/>
            </w:pPr>
            <w:r>
              <w:t xml:space="preserve">Указывается «Ставка НДС». Заполняется значением соответствующего реквизита из полученного из ЕИС (ПУЗ) СДО. </w:t>
            </w:r>
            <w:r/>
          </w:p>
          <w:p>
            <w:pPr>
              <w:ind w:firstLine="0"/>
            </w:pPr>
            <w:r>
              <w:t xml:space="preserve">Допустимые значения:</w:t>
            </w:r>
            <w:r/>
          </w:p>
          <w:p>
            <w:pPr>
              <w:pStyle w:val="998"/>
            </w:pPr>
            <w:r>
              <w:t xml:space="preserve">0 - 0%;</w:t>
            </w:r>
            <w:r/>
          </w:p>
          <w:p>
            <w:pPr>
              <w:pStyle w:val="998"/>
            </w:pPr>
            <w:r>
              <w:t xml:space="preserve">10 - 10%;</w:t>
            </w:r>
            <w:r/>
          </w:p>
          <w:p>
            <w:pPr>
              <w:pStyle w:val="998"/>
            </w:pPr>
            <w:r>
              <w:t xml:space="preserve">18 - 18%;</w:t>
            </w:r>
            <w:r/>
          </w:p>
          <w:p>
            <w:pPr>
              <w:pStyle w:val="998"/>
            </w:pPr>
            <w:r>
              <w:t xml:space="preserve">20 - 20%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Размер НДС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«Размер НДС». Заполняется значением соответствующего реквизита из полученного из ЕИС (ПУЗ) СДО.</w:t>
            </w:r>
            <w:r/>
          </w:p>
        </w:tc>
      </w:tr>
      <w:tr>
        <w:trPr/>
        <w:tc>
          <w:tcPr>
            <w:tcW w:w="2438" w:type="dxa"/>
            <w:textDirection w:val="lrTb"/>
            <w:noWrap w:val="false"/>
          </w:tcPr>
          <w:p>
            <w:pPr>
              <w:pStyle w:val="996"/>
            </w:pPr>
            <w:r>
              <w:t xml:space="preserve">Итого</w:t>
            </w:r>
            <w:r/>
          </w:p>
        </w:tc>
        <w:tc>
          <w:tcPr>
            <w:tcW w:w="7256" w:type="dxa"/>
            <w:textDirection w:val="lrTb"/>
            <w:noWrap w:val="false"/>
          </w:tcPr>
          <w:p>
            <w:pPr>
              <w:pStyle w:val="996"/>
            </w:pPr>
            <w:r>
              <w:t xml:space="preserve">Указывается «Итого». Заполняется значением соответствующего реквизита из полученного из ЕИС (ПУЗ) СДО.</w:t>
            </w:r>
            <w:r/>
          </w:p>
        </w:tc>
      </w:tr>
    </w:tbl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851660"/>
                <wp:effectExtent l="0" t="0" r="0" b="0"/>
                <wp:docPr id="115" name="Рисунок 2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6120130" cy="1851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mso-wrap-distance-left:0.0pt;mso-wrap-distance-top:0.0pt;mso-wrap-distance-right:0.0pt;mso-wrap-distance-bottom:0.0pt;width:481.9pt;height:145.8pt;" stroked="false">
                <v:path textboxrect="0,0,0,0"/>
                <v:imagedata r:id="rId13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38" w:name="_Ref25745725"/>
      <w:r/>
      <w:bookmarkStart w:id="1139" w:name="_Toc25747078"/>
      <w:r/>
      <w:bookmarkStart w:id="1140" w:name="_Toc37689580"/>
      <w:r/>
      <w:bookmarkStart w:id="1141" w:name="_Toc59804531"/>
      <w:r>
        <w:t xml:space="preserve">76</w:t>
      </w:r>
      <w:bookmarkEnd w:id="1138"/>
      <w:r>
        <w:fldChar w:fldCharType="end"/>
      </w:r>
      <w:r>
        <w:t xml:space="preserve">. </w:t>
      </w:r>
      <w:bookmarkEnd w:id="1139"/>
      <w:r/>
      <w:bookmarkEnd w:id="1140"/>
      <w:r>
        <w:t xml:space="preserve">Экземпляр формуляра «Сведения о ДО», вкладка «Документы-основания»</w:t>
      </w:r>
      <w:bookmarkEnd w:id="1141"/>
      <w:r/>
      <w:r/>
    </w:p>
    <w:p>
      <w:pPr>
        <w:pStyle w:val="986"/>
        <w:rPr>
          <w:rStyle w:val="992"/>
        </w:rPr>
      </w:pPr>
      <w:r>
        <w:rPr>
          <w:rStyle w:val="992"/>
        </w:rPr>
        <w:t xml:space="preserve">Вкладка «Сведения о постановке на учет ДО»</w:t>
      </w:r>
      <w:r/>
    </w:p>
    <w:p>
      <w:pPr>
        <w:pStyle w:val="985"/>
      </w:pPr>
      <w:r>
        <w:t xml:space="preserve">Вкладка «Сведения о постановке на учет ДО» заполняется автоматически после утверждения решения по данному СДО и после получении из органа ФК номера зарегистрированного ДО (</w:t>
      </w:r>
      <w:r>
        <w:t xml:space="preserve">рис. </w:t>
      </w:r>
      <w:r>
        <w:fldChar w:fldCharType="begin"/>
      </w:r>
      <w:r>
        <w:instrText xml:space="preserve"> REF _Ref486932828 \h </w:instrText>
      </w:r>
      <w:r>
        <w:fldChar w:fldCharType="separate"/>
      </w:r>
      <w:r>
        <w:t xml:space="preserve">77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065655"/>
                <wp:effectExtent l="0" t="0" r="0" b="0"/>
                <wp:docPr id="116" name="Рисунок 679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2"/>
                        <a:stretch/>
                      </pic:blipFill>
                      <pic:spPr bwMode="auto">
                        <a:xfrm>
                          <a:off x="0" y="0"/>
                          <a:ext cx="6120130" cy="2065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mso-wrap-distance-left:0.0pt;mso-wrap-distance-top:0.0pt;mso-wrap-distance-right:0.0pt;mso-wrap-distance-bottom:0.0pt;width:481.9pt;height:162.7pt;" stroked="false">
                <v:path textboxrect="0,0,0,0"/>
                <v:imagedata r:id="rId13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42" w:name="_Ref486932828"/>
      <w:r/>
      <w:bookmarkStart w:id="1143" w:name="_Toc20229619"/>
      <w:r/>
      <w:bookmarkStart w:id="1144" w:name="_Toc59804532"/>
      <w:r>
        <w:t xml:space="preserve">77</w:t>
      </w:r>
      <w:bookmarkEnd w:id="1142"/>
      <w:r>
        <w:fldChar w:fldCharType="end"/>
      </w:r>
      <w:r>
        <w:t xml:space="preserve">. Экземпляр формуляра «Сведения о ДО», вкладка «Сведения о постановке на учет ДО»</w:t>
      </w:r>
      <w:bookmarkEnd w:id="1143"/>
      <w:r/>
      <w:bookmarkEnd w:id="1144"/>
      <w:r/>
      <w:r/>
    </w:p>
    <w:p>
      <w:pPr>
        <w:pStyle w:val="986"/>
        <w:rPr>
          <w:rStyle w:val="992"/>
        </w:rPr>
      </w:pPr>
      <w:r>
        <w:rPr>
          <w:rStyle w:val="992"/>
        </w:rPr>
        <w:t xml:space="preserve">Вкладка «Лист </w:t>
      </w:r>
      <w:r>
        <w:rPr>
          <w:rStyle w:val="992"/>
        </w:rPr>
        <w:t xml:space="preserve">согласования</w:t>
      </w:r>
      <w:r>
        <w:rPr>
          <w:rStyle w:val="992"/>
        </w:rPr>
        <w:t xml:space="preserve">»</w:t>
      </w:r>
      <w:r/>
    </w:p>
    <w:p>
      <w:pPr>
        <w:pStyle w:val="985"/>
      </w:pPr>
      <w:r>
        <w:t xml:space="preserve">Описание </w:t>
      </w:r>
      <w:r>
        <w:t xml:space="preserve">реквизитов</w:t>
      </w:r>
      <w:r>
        <w:t xml:space="preserve"> вкладки «Лист </w:t>
      </w:r>
      <w:r>
        <w:t xml:space="preserve">согласования</w:t>
      </w:r>
      <w:r>
        <w:t xml:space="preserve">» (рисунок</w:t>
      </w:r>
      <w:r>
        <w:t xml:space="preserve"> </w:t>
      </w:r>
      <w:r>
        <w:fldChar w:fldCharType="begin"/>
      </w:r>
      <w:r>
        <w:instrText xml:space="preserve"> REF _Ref487020590 \h </w:instrText>
      </w:r>
      <w:r>
        <w:fldChar w:fldCharType="separate"/>
      </w:r>
      <w:r>
        <w:t xml:space="preserve">78</w:t>
      </w:r>
      <w:r>
        <w:fldChar w:fldCharType="end"/>
      </w:r>
      <w:r>
        <w:t xml:space="preserve">) приведено </w:t>
      </w:r>
      <w:r>
        <w:t xml:space="preserve">в таблице </w:t>
      </w:r>
      <w:r>
        <w:fldChar w:fldCharType="begin"/>
      </w:r>
      <w:r>
        <w:instrText xml:space="preserve"> REF _Ref519006425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.</w:t>
      </w:r>
      <w:r/>
    </w:p>
    <w:p>
      <w:pPr>
        <w:pStyle w:val="984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145" w:name="_Ref519006425"/>
      <w:r/>
      <w:bookmarkStart w:id="1146" w:name="_Toc20229547"/>
      <w:r/>
      <w:bookmarkStart w:id="1147" w:name="_Toc59804455"/>
      <w:r>
        <w:t xml:space="preserve">9</w:t>
      </w:r>
      <w:bookmarkEnd w:id="1145"/>
      <w:r>
        <w:fldChar w:fldCharType="end"/>
      </w:r>
      <w:r>
        <w:t xml:space="preserve">. Описание полей документа «Сведения о ДО», вкладки «Лист </w:t>
      </w:r>
      <w:r>
        <w:t xml:space="preserve">согласования</w:t>
      </w:r>
      <w:r>
        <w:t xml:space="preserve">»</w:t>
      </w:r>
      <w:bookmarkEnd w:id="1146"/>
      <w:r/>
      <w:bookmarkEnd w:id="1147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3714"/>
        <w:gridCol w:w="5980"/>
      </w:tblGrid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7"/>
            </w:pPr>
            <w:r>
              <w:t xml:space="preserve">Наименование поля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7"/>
            </w:pPr>
            <w:r>
              <w:t xml:space="preserve">Описание правил заполнения поля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«Исполнитель»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Фамилия, Имя, Отчество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Должность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заполнения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«Согласующие»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Решение согласующего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Примечание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ФИО согласующего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Должность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поступления на согласование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согласования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«Утверждающи</w:t>
            </w:r>
            <w:r>
              <w:rPr>
                <w:b/>
              </w:rPr>
              <w:t xml:space="preserve">е</w:t>
            </w:r>
            <w:r>
              <w:rPr>
                <w:b/>
              </w:rPr>
              <w:t xml:space="preserve">»</w:t>
            </w:r>
            <w:r>
              <w:rPr>
                <w:b/>
              </w:rPr>
              <w:t xml:space="preserve">. Главный бухгалтер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ФИО главного бухгалтера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Должность главного бухгалтера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поступления</w:t>
            </w:r>
            <w:r>
              <w:t xml:space="preserve"> на утверждение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утверждения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>
              <w:t xml:space="preserve">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Примечание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Решение главного бухгалтера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gridSpan w:val="2"/>
            <w:tcW w:w="9694" w:type="dxa"/>
            <w:textDirection w:val="lrTb"/>
            <w:noWrap w:val="false"/>
          </w:tcPr>
          <w:p>
            <w:pPr>
              <w:pStyle w:val="996"/>
            </w:pPr>
            <w:r>
              <w:rPr>
                <w:b/>
              </w:rPr>
              <w:t xml:space="preserve">Блок «Утверждающи</w:t>
            </w:r>
            <w:r>
              <w:rPr>
                <w:b/>
              </w:rPr>
              <w:t xml:space="preserve">е</w:t>
            </w:r>
            <w:r>
              <w:rPr>
                <w:b/>
              </w:rPr>
              <w:t xml:space="preserve">». Руководитель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ФИО руководителя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Должность</w:t>
            </w:r>
            <w:r>
              <w:t xml:space="preserve"> </w:t>
            </w:r>
            <w:r>
              <w:t xml:space="preserve">руководителя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поступления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Дата утверждения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Примечание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  <w:tr>
        <w:trPr/>
        <w:tc>
          <w:tcPr>
            <w:tcW w:w="3714" w:type="dxa"/>
            <w:textDirection w:val="lrTb"/>
            <w:noWrap w:val="false"/>
          </w:tcPr>
          <w:p>
            <w:pPr>
              <w:pStyle w:val="996"/>
            </w:pPr>
            <w:r>
              <w:t xml:space="preserve">Решение руководителя</w:t>
            </w:r>
            <w:r/>
          </w:p>
        </w:tc>
        <w:tc>
          <w:tcPr>
            <w:tcW w:w="5980" w:type="dxa"/>
            <w:textDirection w:val="lrTb"/>
            <w:noWrap w:val="false"/>
          </w:tcPr>
          <w:p>
            <w:pPr>
              <w:pStyle w:val="996"/>
            </w:pPr>
            <w:r>
              <w:t xml:space="preserve">Заполняется автоматически.</w:t>
            </w:r>
            <w:r/>
          </w:p>
        </w:tc>
      </w:tr>
    </w:tbl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5721350"/>
                <wp:effectExtent l="0" t="0" r="0" b="0"/>
                <wp:docPr id="117" name="Рисунок 69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3"/>
                        <a:stretch/>
                      </pic:blipFill>
                      <pic:spPr bwMode="auto">
                        <a:xfrm>
                          <a:off x="0" y="0"/>
                          <a:ext cx="6120130" cy="5721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mso-wrap-distance-left:0.0pt;mso-wrap-distance-top:0.0pt;mso-wrap-distance-right:0.0pt;mso-wrap-distance-bottom:0.0pt;width:481.9pt;height:450.5pt;" stroked="false">
                <v:path textboxrect="0,0,0,0"/>
                <v:imagedata r:id="rId13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48" w:name="_Ref486932889"/>
      <w:r/>
      <w:bookmarkStart w:id="1149" w:name="_Ref487020590"/>
      <w:r/>
      <w:bookmarkStart w:id="1150" w:name="_Toc20229620"/>
      <w:r/>
      <w:bookmarkStart w:id="1151" w:name="_Toc59804533"/>
      <w:r>
        <w:t xml:space="preserve">78</w:t>
      </w:r>
      <w:bookmarkEnd w:id="1148"/>
      <w:r/>
      <w:bookmarkEnd w:id="1149"/>
      <w:r>
        <w:fldChar w:fldCharType="end"/>
      </w:r>
      <w:r>
        <w:t xml:space="preserve">. Экземпляр формуляра «Сведения о ДО», вкладка «Лист утверждения»</w:t>
      </w:r>
      <w:bookmarkEnd w:id="1150"/>
      <w:r/>
      <w:bookmarkEnd w:id="1151"/>
      <w:r/>
      <w:r/>
    </w:p>
    <w:p>
      <w:pPr>
        <w:pStyle w:val="1147"/>
        <w:numPr>
          <w:ilvl w:val="0"/>
          <w:numId w:val="6"/>
        </w:numPr>
      </w:pPr>
      <w:r>
        <w:t xml:space="preserve">Для проверки документа </w:t>
      </w: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1000" cy="285750"/>
                <wp:effectExtent l="19050" t="0" r="0" b="0"/>
                <wp:docPr id="118" name="Рисунок 4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6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3810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mso-wrap-distance-left:0.0pt;mso-wrap-distance-top:0.0pt;mso-wrap-distance-right:0.0pt;mso-wrap-distance-bottom:0.0pt;width:30.0pt;height:22.5pt;" stroked="f" strokeweight="0.75pt">
                <v:path textboxrect="0,0,0,0"/>
                <v:imagedata r:id="rId52" o:title=""/>
              </v:shape>
            </w:pict>
          </mc:Fallback>
        </mc:AlternateContent>
      </w:r>
      <w:r>
        <w:t xml:space="preserve"> (</w:t>
      </w:r>
      <w:r>
        <w:t xml:space="preserve">«</w:t>
      </w:r>
      <w:r>
        <w:t xml:space="preserve">Проверить документ</w:t>
      </w:r>
      <w:r>
        <w:t xml:space="preserve">»</w:t>
      </w:r>
      <w:r>
        <w:t xml:space="preserve">). Откроется окно с результатом прохождения контролей (</w:t>
      </w:r>
      <w:r>
        <w:t xml:space="preserve">рис. </w:t>
      </w:r>
      <w:r>
        <w:fldChar w:fldCharType="begin"/>
      </w:r>
      <w:r>
        <w:instrText xml:space="preserve"> REF _Ref486932941 \h  \* MERGEFORMAT </w:instrText>
      </w:r>
      <w:r>
        <w:fldChar w:fldCharType="separate"/>
      </w:r>
      <w:r>
        <w:t xml:space="preserve">79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24400" cy="3924300"/>
                <wp:effectExtent l="19050" t="0" r="0" b="0"/>
                <wp:docPr id="119" name="Рисунок 8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5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4"/>
                        <a:srcRect l="24983" t="15154" r="25049" b="12810"/>
                        <a:stretch/>
                      </pic:blipFill>
                      <pic:spPr bwMode="auto">
                        <a:xfrm>
                          <a:off x="0" y="0"/>
                          <a:ext cx="4724399" cy="3924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mso-wrap-distance-left:0.0pt;mso-wrap-distance-top:0.0pt;mso-wrap-distance-right:0.0pt;mso-wrap-distance-bottom:0.0pt;width:372.0pt;height:309.0pt;" stroked="f" strokeweight="0.75pt">
                <v:path textboxrect="0,0,0,0"/>
                <v:imagedata r:id="rId13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52" w:name="_Ref486932941"/>
      <w:r/>
      <w:bookmarkStart w:id="1153" w:name="_Toc20229621"/>
      <w:r/>
      <w:bookmarkStart w:id="1154" w:name="_Toc59804534"/>
      <w:r>
        <w:t xml:space="preserve">79</w:t>
      </w:r>
      <w:bookmarkEnd w:id="1152"/>
      <w:r>
        <w:fldChar w:fldCharType="end"/>
      </w:r>
      <w:r>
        <w:t xml:space="preserve">. Окно «Результаты проверки»</w:t>
      </w:r>
      <w:bookmarkEnd w:id="1153"/>
      <w:r/>
      <w:bookmarkEnd w:id="1154"/>
      <w:r/>
      <w:r/>
    </w:p>
    <w:p>
      <w:pPr>
        <w:pStyle w:val="1147"/>
        <w:numPr>
          <w:ilvl w:val="0"/>
          <w:numId w:val="1"/>
        </w:numPr>
      </w:pPr>
      <w:r>
        <w:t xml:space="preserve">Для сохранения экземпляра формуляра «Сведения о ДО», в окне «Результаты проверки» </w:t>
      </w:r>
      <w:r>
        <w:t xml:space="preserve">нажать кнопку «</w:t>
      </w:r>
      <w:r>
        <w:t xml:space="preserve">Сохранить».</w:t>
      </w:r>
      <w:r/>
    </w:p>
    <w:p>
      <w:pPr>
        <w:pStyle w:val="1147"/>
        <w:numPr>
          <w:ilvl w:val="0"/>
          <w:numId w:val="1"/>
        </w:numPr>
      </w:pPr>
      <w:r>
        <w:t xml:space="preserve">Далее необходимо закрыть экземпляр формуляра «Сведения о ДО», нажав на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47650" cy="190500"/>
                <wp:effectExtent l="19050" t="0" r="0" b="0"/>
                <wp:docPr id="120" name="Рисунок 4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8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2476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mso-wrap-distance-left:0.0pt;mso-wrap-distance-top:0.0pt;mso-wrap-distance-right:0.0pt;mso-wrap-distance-bottom:0.0pt;width:19.5pt;height:15.0pt;" stroked="f" strokeweight="0.75pt">
                <v:path textboxrect="0,0,0,0"/>
                <v:imagedata r:id="rId53" o:title=""/>
              </v:shape>
            </w:pict>
          </mc:Fallback>
        </mc:AlternateContent>
      </w:r>
      <w:r>
        <w:t xml:space="preserve"> (Закрыть окно редактирования) в верхнем правом углу.</w:t>
      </w:r>
      <w:r/>
    </w:p>
    <w:p>
      <w:pPr>
        <w:pStyle w:val="1147"/>
        <w:numPr>
          <w:ilvl w:val="0"/>
          <w:numId w:val="0"/>
        </w:numPr>
        <w:ind w:left="1021"/>
      </w:pPr>
      <w:r>
        <w:t xml:space="preserve">В </w:t>
      </w:r>
      <w:r>
        <w:t xml:space="preserve">списковой форме</w:t>
      </w:r>
      <w:r>
        <w:t xml:space="preserve"> появится созданный документ на статусе «Новый».</w:t>
      </w:r>
      <w:r/>
    </w:p>
    <w:p>
      <w:pPr>
        <w:pStyle w:val="1147"/>
        <w:numPr>
          <w:ilvl w:val="0"/>
          <w:numId w:val="1"/>
        </w:numPr>
      </w:pPr>
      <w:r>
        <w:t xml:space="preserve">Выделить созданный документ на статусе «Новый» и </w:t>
      </w: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76225"/>
                <wp:effectExtent l="19050" t="0" r="9525" b="0"/>
                <wp:docPr id="121" name="Рисунок 51" descr="012 Кнопка Направить на согласование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1" descr="012 Кнопка Направить на согласование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2571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mso-wrap-distance-left:0.0pt;mso-wrap-distance-top:0.0pt;mso-wrap-distance-right:0.0pt;mso-wrap-distance-bottom:0.0pt;width:20.2pt;height:21.8pt;" stroked="f" strokeweight="0.75pt">
                <v:path textboxrect="0,0,0,0"/>
                <v:imagedata r:id="rId46" o:title=""/>
              </v:shape>
            </w:pict>
          </mc:Fallback>
        </mc:AlternateContent>
      </w:r>
      <w:r>
        <w:t xml:space="preserve"> (Направить на согласование).</w:t>
      </w:r>
      <w:r/>
    </w:p>
    <w:p>
      <w:pPr>
        <w:pStyle w:val="1147"/>
        <w:numPr>
          <w:ilvl w:val="0"/>
          <w:numId w:val="1"/>
        </w:numPr>
      </w:pPr>
      <w:r>
        <w:t xml:space="preserve">В открывшемся окне «Сформировать лист согласовани</w:t>
      </w:r>
      <w:r>
        <w:t xml:space="preserve">я</w:t>
      </w:r>
      <w:r>
        <w:t xml:space="preserve">» (</w:t>
      </w:r>
      <w:r>
        <w:t xml:space="preserve">рис. </w:t>
      </w:r>
      <w:r>
        <w:fldChar w:fldCharType="begin"/>
      </w:r>
      <w:r>
        <w:instrText xml:space="preserve"> REF _Ref486933028 \h </w:instrText>
      </w:r>
      <w:r>
        <w:fldChar w:fldCharType="separate"/>
      </w:r>
      <w:r>
        <w:t xml:space="preserve">80</w:t>
      </w:r>
      <w:r>
        <w:fldChar w:fldCharType="end"/>
      </w:r>
      <w:r>
        <w:t xml:space="preserve">) заполнить сведения о согласующих и утверждающих лицах. Для этого с помощью кнопки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0025" cy="200025"/>
                <wp:effectExtent l="19050" t="0" r="9525" b="0"/>
                <wp:docPr id="122" name="Рисунок 52" descr="013 Выбор из справочника согласующего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2" descr="013 Выбор из справочника согласующего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5"/>
                        <a:stretch/>
                      </pic:blipFill>
                      <pic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mso-wrap-distance-left:0.0pt;mso-wrap-distance-top:0.0pt;mso-wrap-distance-right:0.0pt;mso-wrap-distance-bottom:0.0pt;width:15.8pt;height:15.8pt;" stroked="f" strokeweight="0.75pt">
                <v:path textboxrect="0,0,0,0"/>
                <v:imagedata r:id="rId135" o:title=""/>
              </v:shape>
            </w:pict>
          </mc:Fallback>
        </mc:AlternateContent>
      </w:r>
      <w:r>
        <w:t xml:space="preserve"> выбрать соответствующие данные из списка возможных значений. Если задано несколько согласующих лиц, то необходимо установить порядок согласования. Для этого в поле «Порядок» требуется указать соответствующий порядку согласования номер.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2314575"/>
                <wp:effectExtent l="19050" t="0" r="0" b="0"/>
                <wp:docPr id="123" name="Рисунок 53" descr="014 Сформировать лист согласования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3" descr="014 Сформировать лист согласования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6"/>
                        <a:stretch/>
                      </pic:blipFill>
                      <pic:spPr bwMode="auto">
                        <a:xfrm>
                          <a:off x="0" y="0"/>
                          <a:ext cx="6115050" cy="2314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mso-wrap-distance-left:0.0pt;mso-wrap-distance-top:0.0pt;mso-wrap-distance-right:0.0pt;mso-wrap-distance-bottom:0.0pt;width:481.5pt;height:182.2pt;" stroked="f" strokeweight="0.75pt">
                <v:path textboxrect="0,0,0,0"/>
                <v:imagedata r:id="rId136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55" w:name="_Ref486933028"/>
      <w:r/>
      <w:bookmarkStart w:id="1156" w:name="_Toc20229623"/>
      <w:r/>
      <w:bookmarkStart w:id="1157" w:name="_Toc59804535"/>
      <w:r>
        <w:t xml:space="preserve">80</w:t>
      </w:r>
      <w:bookmarkEnd w:id="1155"/>
      <w:r>
        <w:fldChar w:fldCharType="end"/>
      </w:r>
      <w:r>
        <w:t xml:space="preserve">. Окно «Сформировать лист согласования»</w:t>
      </w:r>
      <w:bookmarkEnd w:id="1156"/>
      <w:r/>
      <w:bookmarkEnd w:id="1157"/>
      <w:r/>
      <w:r/>
    </w:p>
    <w:p>
      <w:pPr>
        <w:pStyle w:val="1147"/>
        <w:numPr>
          <w:ilvl w:val="0"/>
          <w:numId w:val="1"/>
        </w:numPr>
      </w:pPr>
      <w:r>
        <w:t xml:space="preserve">В окне «Сформировать лист согласовани</w:t>
      </w:r>
      <w:r>
        <w:t xml:space="preserve">я</w:t>
      </w:r>
      <w:r>
        <w:t xml:space="preserve">» нажать </w:t>
      </w:r>
      <w:r>
        <w:t xml:space="preserve">кнопку «</w:t>
      </w:r>
      <w:r>
        <w:rPr>
          <w:lang w:val="en-US"/>
        </w:rPr>
        <w:t xml:space="preserve">Ok</w:t>
      </w:r>
      <w:r>
        <w:t xml:space="preserve">».</w:t>
      </w:r>
      <w:r>
        <w:t xml:space="preserve"> </w:t>
      </w:r>
      <w:r/>
    </w:p>
    <w:p>
      <w:pPr>
        <w:pStyle w:val="985"/>
      </w:pPr>
      <w:r>
        <w:t xml:space="preserve">В результате успешного выполнения операции документ </w:t>
      </w:r>
      <w:r>
        <w:t xml:space="preserve">перейдет на статус «На согласовании».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158" w:name="_Ref486521276"/>
      <w:r/>
      <w:bookmarkStart w:id="1159" w:name="_Ref486521283"/>
      <w:r/>
      <w:bookmarkStart w:id="1160" w:name="_Toc486936353"/>
      <w:r/>
      <w:bookmarkStart w:id="1161" w:name="_Toc487019714"/>
      <w:r/>
      <w:bookmarkStart w:id="1162" w:name="_Toc487028510"/>
      <w:r/>
      <w:bookmarkStart w:id="1163" w:name="_Toc20229511"/>
      <w:r/>
      <w:bookmarkStart w:id="1164" w:name="_Toc62446053"/>
      <w:r>
        <w:t xml:space="preserve">Редактирование листа согласования документа «Сведения о ДО»</w:t>
      </w:r>
      <w:bookmarkEnd w:id="1158"/>
      <w:r/>
      <w:bookmarkEnd w:id="1159"/>
      <w:r/>
      <w:bookmarkEnd w:id="1160"/>
      <w:r/>
      <w:bookmarkEnd w:id="1161"/>
      <w:r/>
      <w:bookmarkEnd w:id="1162"/>
      <w:r/>
      <w:bookmarkEnd w:id="1163"/>
      <w:r/>
      <w:bookmarkEnd w:id="1164"/>
      <w:r/>
      <w:r/>
    </w:p>
    <w:p>
      <w:pPr>
        <w:pStyle w:val="985"/>
      </w:pPr>
      <w:r>
        <w:t xml:space="preserve">Возможно редактирование листа согласования документа «Сведения о ДО».</w:t>
      </w:r>
      <w:r/>
    </w:p>
    <w:p>
      <w:pPr>
        <w:pStyle w:val="985"/>
      </w:pPr>
      <w:r>
        <w:t xml:space="preserve">Если необходимо изменить согласующего и/или утверждающего, то необходимо </w:t>
      </w: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375" cy="304800"/>
                <wp:effectExtent l="19050" t="0" r="9525" b="0"/>
                <wp:docPr id="124" name="Рисунок 24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33337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mso-wrap-distance-left:0.0pt;mso-wrap-distance-top:0.0pt;mso-wrap-distance-right:0.0pt;mso-wrap-distance-bottom:0.0pt;width:26.2pt;height:24.0pt;" stroked="f" strokeweight="0.75pt">
                <v:path textboxrect="0,0,0,0"/>
                <v:imagedata r:id="rId137" o:title=""/>
              </v:shape>
            </w:pict>
          </mc:Fallback>
        </mc:AlternateContent>
      </w:r>
      <w:r>
        <w:t xml:space="preserve"> (Редактировать лист согласования).</w:t>
      </w:r>
      <w:r/>
    </w:p>
    <w:p>
      <w:pPr>
        <w:pStyle w:val="986"/>
      </w:pPr>
      <w:r>
        <w:t xml:space="preserve">Можно выполнить следующие действия:</w:t>
      </w:r>
      <w:r/>
    </w:p>
    <w:p>
      <w:pPr>
        <w:pStyle w:val="976"/>
      </w:pPr>
      <w:r>
        <w:t xml:space="preserve">д</w:t>
      </w:r>
      <w:r>
        <w:t xml:space="preserve">обавить согласующих, удалить согласующих, нажав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0500" cy="219075"/>
                <wp:effectExtent l="19050" t="0" r="0" b="0"/>
                <wp:docPr id="125" name="Рисунок 24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8"/>
                        <a:stretch/>
                      </pic:blipFill>
                      <pic:spPr bwMode="auto">
                        <a:xfrm>
                          <a:off x="0" y="0"/>
                          <a:ext cx="190500" cy="2190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mso-wrap-distance-left:0.0pt;mso-wrap-distance-top:0.0pt;mso-wrap-distance-right:0.0pt;mso-wrap-distance-bottom:0.0pt;width:15.0pt;height:17.2pt;" stroked="f" strokeweight="0.75pt">
                <v:path textboxrect="0,0,0,0"/>
                <v:imagedata r:id="rId138" o:title=""/>
              </v:shape>
            </w:pict>
          </mc:Fallback>
        </mc:AlternateContent>
      </w:r>
      <w:r>
        <w:t xml:space="preserve">, поменять порядок согласования, поставить </w:t>
      </w:r>
      <w:r>
        <w:rPr>
          <w:rStyle w:val="1220"/>
        </w:rPr>
        <w:t xml:space="preserve">чекбокс</w:t>
      </w:r>
      <w:r>
        <w:t xml:space="preserve"> </w:t>
      </w:r>
      <w:r>
        <w:t xml:space="preserve">в поле </w:t>
      </w:r>
      <w:r>
        <w:t xml:space="preserve">«Пропустить этап согласования»;</w:t>
      </w:r>
      <w:r/>
    </w:p>
    <w:p>
      <w:pPr>
        <w:pStyle w:val="976"/>
      </w:pPr>
      <w:r>
        <w:t xml:space="preserve">и</w:t>
      </w:r>
      <w:r>
        <w:t xml:space="preserve">зменить утверждающего (удалить утверждающего нельзя, он обязательно должен быть).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165" w:name="_Toc421735093"/>
      <w:r/>
      <w:bookmarkStart w:id="1166" w:name="_Toc452115257"/>
      <w:r/>
      <w:bookmarkStart w:id="1167" w:name="_Ref453952099"/>
      <w:r/>
      <w:bookmarkStart w:id="1168" w:name="_Toc487019715"/>
      <w:r/>
      <w:bookmarkStart w:id="1169" w:name="_Toc487028511"/>
      <w:r/>
      <w:bookmarkStart w:id="1170" w:name="_Toc20229512"/>
      <w:r/>
      <w:bookmarkStart w:id="1171" w:name="_Toc62446054"/>
      <w:r>
        <w:t xml:space="preserve">Согласование документа «Сведения о ДО»</w:t>
      </w:r>
      <w:bookmarkEnd w:id="1165"/>
      <w:r/>
      <w:bookmarkEnd w:id="1166"/>
      <w:r/>
      <w:bookmarkEnd w:id="1167"/>
      <w:r/>
      <w:bookmarkEnd w:id="1168"/>
      <w:r/>
      <w:bookmarkEnd w:id="1169"/>
      <w:r/>
      <w:bookmarkEnd w:id="1170"/>
      <w:r/>
      <w:bookmarkEnd w:id="1171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</w:pPr>
      <w:r>
        <w:t xml:space="preserve">наличие у пользователя соответствующих полномочий;</w:t>
      </w:r>
      <w:r/>
    </w:p>
    <w:p>
      <w:pPr>
        <w:pStyle w:val="976"/>
      </w:pPr>
      <w:r>
        <w:t xml:space="preserve">в Подсистеме настроено многоуровневое согласование документа «Сведения о ДО»;</w:t>
      </w:r>
      <w:r/>
    </w:p>
    <w:p>
      <w:pPr>
        <w:pStyle w:val="976"/>
      </w:pPr>
      <w:r>
        <w:t xml:space="preserve">в Подсистеме существует документ «Бюджетное обязательство» в статусе «Актуален», по которому создается документ «Сведения о ДО»;</w:t>
      </w:r>
      <w:r/>
    </w:p>
    <w:p>
      <w:pPr>
        <w:pStyle w:val="976"/>
      </w:pPr>
      <w:r>
        <w:t xml:space="preserve">заполнены справочники для обеспечения корректной работы Системы</w:t>
      </w:r>
      <w:r/>
    </w:p>
    <w:p>
      <w:pPr>
        <w:pStyle w:val="976"/>
      </w:pPr>
      <w:r>
        <w:t xml:space="preserve">есть пользователи, привязанные к организации ПБС, с ролями:</w:t>
      </w:r>
      <w:r/>
    </w:p>
    <w:p>
      <w:pPr>
        <w:pStyle w:val="977"/>
      </w:pPr>
      <w:r>
        <w:t xml:space="preserve">БО.001 Клиент.Ввод данных СБО (ПБС);</w:t>
      </w:r>
      <w:r/>
    </w:p>
    <w:p>
      <w:pPr>
        <w:pStyle w:val="977"/>
      </w:pPr>
      <w:r>
        <w:t xml:space="preserve">БО.002 Клиент.Согласование данных СБО (ПБС);</w:t>
      </w:r>
      <w:r/>
    </w:p>
    <w:p>
      <w:pPr>
        <w:pStyle w:val="977"/>
      </w:pPr>
      <w:r>
        <w:t xml:space="preserve">БО.003 Клиент.Утверждение СБО (ПБС).</w:t>
      </w:r>
      <w:r/>
    </w:p>
    <w:p>
      <w:pPr>
        <w:pStyle w:val="964"/>
        <w:ind w:left="1304" w:hanging="1304"/>
        <w:tabs>
          <w:tab w:val="num" w:pos="1304" w:leader="none"/>
        </w:tabs>
      </w:pPr>
      <w:r>
        <w:t xml:space="preserve">Последовательность действий</w:t>
      </w:r>
      <w:r/>
    </w:p>
    <w:p>
      <w:pPr>
        <w:pStyle w:val="986"/>
      </w:pPr>
      <w:r>
        <w:t xml:space="preserve">Для согласования направленного экземпляра формуляра «Сведения о ДО» пользователю, наделенному соответствующими полномочиями, необходимо выполнить следующие действия:</w:t>
      </w:r>
      <w:r/>
    </w:p>
    <w:p>
      <w:pPr>
        <w:pStyle w:val="1147"/>
        <w:numPr>
          <w:ilvl w:val="0"/>
          <w:numId w:val="7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Сведения о денежных обязательствах – </w:t>
      </w:r>
      <w:r>
        <w:t xml:space="preserve">На согласовани</w:t>
      </w:r>
      <w:r>
        <w:t xml:space="preserve">е (Мое)</w:t>
      </w:r>
      <w:r>
        <w:t xml:space="preserve">»</w:t>
      </w:r>
      <w:r>
        <w:t xml:space="preserve">.</w:t>
      </w:r>
      <w:r/>
    </w:p>
    <w:p>
      <w:pPr>
        <w:pStyle w:val="1147"/>
        <w:numPr>
          <w:ilvl w:val="0"/>
          <w:numId w:val="1"/>
        </w:numPr>
      </w:pPr>
      <w:r>
        <w:t xml:space="preserve">Выбрать нужный документ в статусе «На согласовании».</w:t>
      </w:r>
      <w:r/>
    </w:p>
    <w:p>
      <w:pPr>
        <w:pStyle w:val="1147"/>
        <w:numPr>
          <w:ilvl w:val="0"/>
          <w:numId w:val="1"/>
        </w:numPr>
      </w:pPr>
      <w:r>
        <w:t xml:space="preserve">В случае положительного решения согласующему лицу необходимо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375" cy="314325"/>
                <wp:effectExtent l="19050" t="0" r="9525" b="0"/>
                <wp:docPr id="126" name="Рисунок 7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4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333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mso-wrap-distance-left:0.0pt;mso-wrap-distance-top:0.0pt;mso-wrap-distance-right:0.0pt;mso-wrap-distance-bottom:0.0pt;width:26.2pt;height:24.8pt;" stroked="f" strokeweight="0.75pt">
                <v:path textboxrect="0,0,0,0"/>
                <v:imagedata r:id="rId139" o:title=""/>
              </v:shape>
            </w:pict>
          </mc:Fallback>
        </mc:AlternateContent>
      </w:r>
      <w:r>
        <w:t xml:space="preserve"> (Согласовать).</w:t>
      </w:r>
      <w:r/>
    </w:p>
    <w:p>
      <w:pPr>
        <w:pStyle w:val="1147"/>
        <w:numPr>
          <w:ilvl w:val="0"/>
          <w:numId w:val="1"/>
        </w:numPr>
      </w:pPr>
      <w:r>
        <w:t xml:space="preserve">В открывшемся окне «Согласование» в поле «Комментарий» при необходимости указать дополнительную информацию и </w:t>
      </w:r>
      <w:r>
        <w:t xml:space="preserve">нажать кнопку «</w:t>
      </w:r>
      <w:r>
        <w:t xml:space="preserve">Согласовать» (</w:t>
      </w:r>
      <w:r>
        <w:t xml:space="preserve">рис. </w:t>
      </w:r>
      <w:r>
        <w:fldChar w:fldCharType="begin"/>
      </w:r>
      <w:r>
        <w:instrText xml:space="preserve"> REF _Ref486933369 \h </w:instrText>
      </w:r>
      <w:r>
        <w:fldChar w:fldCharType="separate"/>
      </w:r>
      <w:r>
        <w:t xml:space="preserve">81</w:t>
      </w:r>
      <w:r>
        <w:fldChar w:fldCharType="end"/>
      </w:r>
      <w:r>
        <w:t xml:space="preserve">).</w:t>
      </w:r>
      <w:r/>
    </w:p>
    <w:p>
      <w:pPr>
        <w:pStyle w:val="973"/>
      </w:pP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05175" cy="1857375"/>
                <wp:effectExtent l="19050" t="0" r="9525" b="0"/>
                <wp:docPr id="127" name="Рисунок 24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6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0"/>
                        <a:stretch/>
                      </pic:blipFill>
                      <pic:spPr bwMode="auto">
                        <a:xfrm>
                          <a:off x="0" y="0"/>
                          <a:ext cx="3305175" cy="1857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mso-wrap-distance-left:0.0pt;mso-wrap-distance-top:0.0pt;mso-wrap-distance-right:0.0pt;mso-wrap-distance-bottom:0.0pt;width:260.2pt;height:146.2pt;" stroked="f" strokeweight="0.75pt">
                <v:path textboxrect="0,0,0,0"/>
                <v:imagedata r:id="rId140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72" w:name="_Ref486933369"/>
      <w:r/>
      <w:bookmarkStart w:id="1173" w:name="_Ref487020701"/>
      <w:r/>
      <w:bookmarkStart w:id="1174" w:name="_Toc20229625"/>
      <w:r/>
      <w:bookmarkStart w:id="1175" w:name="_Toc59804536"/>
      <w:r>
        <w:t xml:space="preserve">81</w:t>
      </w:r>
      <w:bookmarkEnd w:id="1172"/>
      <w:r/>
      <w:bookmarkEnd w:id="1173"/>
      <w:r>
        <w:fldChar w:fldCharType="end"/>
      </w:r>
      <w:r>
        <w:t xml:space="preserve">. Окно «Согласовать»</w:t>
      </w:r>
      <w:bookmarkEnd w:id="1174"/>
      <w:r/>
      <w:bookmarkEnd w:id="1175"/>
      <w:r/>
      <w:r/>
    </w:p>
    <w:p>
      <w:pPr>
        <w:pStyle w:val="1147"/>
        <w:numPr>
          <w:ilvl w:val="0"/>
          <w:numId w:val="1"/>
        </w:numPr>
      </w:pPr>
      <w:r>
        <w:t xml:space="preserve">Закрыть открывшееся информационное окно нажатием кнопки «ОК» (</w:t>
      </w:r>
      <w:r>
        <w:t xml:space="preserve">рис. </w:t>
      </w:r>
      <w:r>
        <w:fldChar w:fldCharType="begin"/>
      </w:r>
      <w:r>
        <w:instrText xml:space="preserve"> REF _Ref486933402 \h </w:instrText>
      </w:r>
      <w:r>
        <w:fldChar w:fldCharType="separate"/>
      </w:r>
      <w:r>
        <w:t xml:space="preserve">82</w:t>
      </w:r>
      <w:r>
        <w:fldChar w:fldCharType="end"/>
      </w:r>
      <w:r>
        <w:t xml:space="preserve">).</w:t>
      </w:r>
      <w:r>
        <w:t xml:space="preserve"> 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90875" cy="1114425"/>
                <wp:effectExtent l="19050" t="0" r="9525" b="0"/>
                <wp:docPr id="128" name="Рисунок 6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5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319087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mso-wrap-distance-left:0.0pt;mso-wrap-distance-top:0.0pt;mso-wrap-distance-right:0.0pt;mso-wrap-distance-bottom:0.0pt;width:251.2pt;height:87.8pt;" stroked="f" strokeweight="0.75pt">
                <v:path textboxrect="0,0,0,0"/>
                <v:imagedata r:id="rId141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76" w:name="_Ref486933402"/>
      <w:r/>
      <w:bookmarkStart w:id="1177" w:name="_Toc20229626"/>
      <w:r/>
      <w:bookmarkStart w:id="1178" w:name="_Toc59804537"/>
      <w:r>
        <w:t xml:space="preserve">82</w:t>
      </w:r>
      <w:bookmarkEnd w:id="1176"/>
      <w:r>
        <w:fldChar w:fldCharType="end"/>
      </w:r>
      <w:r>
        <w:t xml:space="preserve">. Информационное сообщение</w:t>
      </w:r>
      <w:bookmarkEnd w:id="1177"/>
      <w:r/>
      <w:bookmarkEnd w:id="1178"/>
      <w:r/>
      <w:r/>
    </w:p>
    <w:p>
      <w:pPr>
        <w:pStyle w:val="985"/>
      </w:pPr>
      <w:r>
        <w:t xml:space="preserve">В результате успешного выполнения операции документ перейдет на статус «На утверждении».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179" w:name="_Toc468289119"/>
      <w:r/>
      <w:bookmarkStart w:id="1180" w:name="_Toc468289122"/>
      <w:r/>
      <w:bookmarkStart w:id="1181" w:name="_Toc468289123"/>
      <w:r/>
      <w:bookmarkStart w:id="1182" w:name="_Toc452115259"/>
      <w:r/>
      <w:bookmarkStart w:id="1183" w:name="_Ref453952102"/>
      <w:r/>
      <w:bookmarkStart w:id="1184" w:name="_Toc487019719"/>
      <w:r/>
      <w:bookmarkStart w:id="1185" w:name="_Toc487028515"/>
      <w:r/>
      <w:bookmarkStart w:id="1186" w:name="_Toc20229513"/>
      <w:r/>
      <w:bookmarkStart w:id="1187" w:name="_Toc62446055"/>
      <w:r/>
      <w:bookmarkStart w:id="1188" w:name="_Toc421735094"/>
      <w:r/>
      <w:bookmarkStart w:id="1189" w:name="_Toc421735096"/>
      <w:r/>
      <w:bookmarkEnd w:id="1179"/>
      <w:r/>
      <w:bookmarkEnd w:id="1180"/>
      <w:r/>
      <w:bookmarkEnd w:id="1181"/>
      <w:r>
        <w:t xml:space="preserve">Утверждение</w:t>
      </w:r>
      <w:r>
        <w:t xml:space="preserve"> документа «Сведения о ДО»</w:t>
      </w:r>
      <w:bookmarkEnd w:id="1182"/>
      <w:r/>
      <w:bookmarkEnd w:id="1183"/>
      <w:r/>
      <w:bookmarkEnd w:id="1184"/>
      <w:r/>
      <w:bookmarkEnd w:id="1185"/>
      <w:r/>
      <w:bookmarkEnd w:id="1186"/>
      <w:r/>
      <w:bookmarkEnd w:id="1187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</w:pPr>
      <w:r>
        <w:t xml:space="preserve">наличие у пользователя соответствующих полномочий;</w:t>
      </w:r>
      <w:r/>
    </w:p>
    <w:p>
      <w:pPr>
        <w:pStyle w:val="976"/>
      </w:pPr>
      <w:r>
        <w:t xml:space="preserve">в Подсистеме настроено многоуровневое согласование документа «Сведения о ДО»;</w:t>
      </w:r>
      <w:r/>
    </w:p>
    <w:p>
      <w:pPr>
        <w:pStyle w:val="976"/>
      </w:pPr>
      <w:r>
        <w:t xml:space="preserve">в Подсистеме существует документ «Бюджетное обязательство» в статусе «Актуален», по которому создается документ «Сведения о ДО»;</w:t>
      </w:r>
      <w:r/>
    </w:p>
    <w:p>
      <w:pPr>
        <w:pStyle w:val="976"/>
      </w:pPr>
      <w:r>
        <w:t xml:space="preserve">заполнены справочники для обеспечения корректной работы Системы</w:t>
      </w:r>
      <w:r/>
    </w:p>
    <w:p>
      <w:pPr>
        <w:pStyle w:val="976"/>
      </w:pPr>
      <w:r>
        <w:t xml:space="preserve">есть пользователи, привязанные к организации ПБС, с ролями:</w:t>
      </w:r>
      <w:r/>
    </w:p>
    <w:p>
      <w:pPr>
        <w:pStyle w:val="977"/>
      </w:pPr>
      <w:r>
        <w:t xml:space="preserve">БО.001 Клиент.Ввод данных СБО (ПБС);</w:t>
      </w:r>
      <w:r/>
    </w:p>
    <w:p>
      <w:pPr>
        <w:pStyle w:val="977"/>
      </w:pPr>
      <w:r>
        <w:t xml:space="preserve">БО.002 Клиент.Согласование данных СБО (ПБС);</w:t>
      </w:r>
      <w:r/>
    </w:p>
    <w:p>
      <w:pPr>
        <w:pStyle w:val="977"/>
      </w:pPr>
      <w:r>
        <w:t xml:space="preserve">БО.003 Клиент.Утверждение СБО (ПБС).</w:t>
      </w:r>
      <w:r/>
    </w:p>
    <w:p>
      <w:pPr>
        <w:pStyle w:val="964"/>
        <w:ind w:left="1304" w:hanging="1304"/>
        <w:tabs>
          <w:tab w:val="num" w:pos="1304" w:leader="none"/>
        </w:tabs>
      </w:pPr>
      <w:r>
        <w:t xml:space="preserve">Последовательность действий</w:t>
      </w:r>
      <w:r/>
    </w:p>
    <w:p>
      <w:pPr>
        <w:pStyle w:val="986"/>
      </w:pPr>
      <w:r>
        <w:t xml:space="preserve">Для утверждения экземпляра формуляра «Сведения о ДО</w:t>
      </w:r>
      <w:r>
        <w:t xml:space="preserve">» утверждающему лицу</w:t>
      </w:r>
      <w:r>
        <w:t xml:space="preserve"> необходимо выполнить следующие действия:</w:t>
      </w:r>
      <w:r/>
    </w:p>
    <w:p>
      <w:pPr>
        <w:pStyle w:val="1147"/>
        <w:numPr>
          <w:ilvl w:val="0"/>
          <w:numId w:val="8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Сведения о денежных обязательствах – </w:t>
      </w:r>
      <w:r>
        <w:t xml:space="preserve">На утверждении (Мое)») </w:t>
      </w:r>
      <w:r/>
    </w:p>
    <w:p>
      <w:pPr>
        <w:pStyle w:val="1147"/>
        <w:numPr>
          <w:ilvl w:val="0"/>
          <w:numId w:val="8"/>
        </w:numPr>
      </w:pPr>
      <w:r>
        <w:t xml:space="preserve">Выбрать нужный документ </w:t>
      </w:r>
      <w:r>
        <w:t xml:space="preserve">на статусе «На утверждении».</w:t>
      </w:r>
      <w:r/>
    </w:p>
    <w:p>
      <w:pPr>
        <w:pStyle w:val="1147"/>
        <w:numPr>
          <w:ilvl w:val="0"/>
          <w:numId w:val="1"/>
        </w:numPr>
      </w:pPr>
      <w:r>
        <w:t xml:space="preserve">В случае положительного решения руководителя по документу «Сведения о ДО» руководителю необходимо 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375" cy="314325"/>
                <wp:effectExtent l="19050" t="0" r="9525" b="0"/>
                <wp:docPr id="129" name="Рисунок 7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4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333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mso-wrap-distance-left:0.0pt;mso-wrap-distance-top:0.0pt;mso-wrap-distance-right:0.0pt;mso-wrap-distance-bottom:0.0pt;width:26.2pt;height:24.8pt;" stroked="f" strokeweight="0.75pt">
                <v:path textboxrect="0,0,0,0"/>
                <v:imagedata r:id="rId139" o:title=""/>
              </v:shape>
            </w:pict>
          </mc:Fallback>
        </mc:AlternateContent>
      </w:r>
      <w:r>
        <w:t xml:space="preserve"> (Утвердить).</w:t>
      </w:r>
      <w:r/>
    </w:p>
    <w:p>
      <w:pPr>
        <w:pStyle w:val="1147"/>
        <w:numPr>
          <w:ilvl w:val="0"/>
          <w:numId w:val="1"/>
        </w:numPr>
        <w:keepNext/>
      </w:pPr>
      <w:r>
        <w:t xml:space="preserve">В открывшемся окне утверждения в поле «Примечание» указать дополнительную информацию и </w:t>
      </w:r>
      <w:r>
        <w:t xml:space="preserve">нажать кнопку «</w:t>
      </w:r>
      <w:r>
        <w:t xml:space="preserve">Утвердить» (</w:t>
      </w:r>
      <w:r>
        <w:t xml:space="preserve">рис. </w:t>
      </w:r>
      <w:r>
        <w:fldChar w:fldCharType="begin"/>
      </w:r>
      <w:r>
        <w:instrText xml:space="preserve"> REF _Ref486933560 \h </w:instrText>
      </w:r>
      <w:r>
        <w:fldChar w:fldCharType="separate"/>
      </w:r>
      <w:r>
        <w:t xml:space="preserve">83</w:t>
      </w:r>
      <w:r>
        <w:fldChar w:fldCharType="end"/>
      </w:r>
      <w:r>
        <w:t xml:space="preserve">).</w:t>
      </w:r>
      <w:r/>
    </w:p>
    <w:p>
      <w:pPr>
        <w:pStyle w:val="973"/>
      </w:pPr>
      <w:r/>
      <w:bookmarkStart w:id="1190" w:name="OLE_LINK86"/>
      <w:r/>
      <w:bookmarkStart w:id="1191" w:name="OLE_LINK8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57625" cy="1971675"/>
                <wp:effectExtent l="19050" t="0" r="9525" b="0"/>
                <wp:docPr id="130" name="Рисунок 7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0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2"/>
                        <a:stretch/>
                      </pic:blipFill>
                      <pic:spPr bwMode="auto">
                        <a:xfrm>
                          <a:off x="0" y="0"/>
                          <a:ext cx="3857625" cy="197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mso-wrap-distance-left:0.0pt;mso-wrap-distance-top:0.0pt;mso-wrap-distance-right:0.0pt;mso-wrap-distance-bottom:0.0pt;width:303.8pt;height:155.2pt;" stroked="f" strokeweight="0.75pt">
                <v:path textboxrect="0,0,0,0"/>
                <v:imagedata r:id="rId14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92" w:name="_Ref486933560"/>
      <w:r/>
      <w:bookmarkStart w:id="1193" w:name="_Ref487020750"/>
      <w:r/>
      <w:bookmarkStart w:id="1194" w:name="_Toc20229627"/>
      <w:r/>
      <w:bookmarkStart w:id="1195" w:name="_Toc59804538"/>
      <w:r>
        <w:t xml:space="preserve">83</w:t>
      </w:r>
      <w:bookmarkEnd w:id="1192"/>
      <w:r/>
      <w:bookmarkEnd w:id="1193"/>
      <w:r>
        <w:fldChar w:fldCharType="end"/>
      </w:r>
      <w:r>
        <w:t xml:space="preserve">. Окно «Утвердить»</w:t>
      </w:r>
      <w:bookmarkEnd w:id="1194"/>
      <w:r/>
      <w:bookmarkEnd w:id="1195"/>
      <w:r/>
      <w:bookmarkEnd w:id="1190"/>
      <w:bookmarkEnd w:id="1191"/>
      <w:r/>
    </w:p>
    <w:p>
      <w:pPr>
        <w:pStyle w:val="1147"/>
        <w:numPr>
          <w:ilvl w:val="0"/>
          <w:numId w:val="1"/>
        </w:numPr>
        <w:keepNext/>
      </w:pPr>
      <w:r>
        <w:t xml:space="preserve">Выполнить подписание документа. Для этого необходимо в открывшемся окне «Документ на подпись» просмотреть подписываемый документ и нажать </w:t>
      </w:r>
      <w:r>
        <w:t xml:space="preserve">кнопку «</w:t>
      </w:r>
      <w:r>
        <w:t xml:space="preserve">Подписать» (</w:t>
      </w:r>
      <w:r>
        <w:t xml:space="preserve">рис. </w:t>
      </w:r>
      <w:r>
        <w:fldChar w:fldCharType="begin"/>
      </w:r>
      <w:r>
        <w:instrText xml:space="preserve"> REF _Ref486933568 \h </w:instrText>
      </w:r>
      <w:r>
        <w:fldChar w:fldCharType="separate"/>
      </w:r>
      <w:r>
        <w:t xml:space="preserve">84</w:t>
      </w:r>
      <w:r>
        <w:fldChar w:fldCharType="end"/>
      </w:r>
      <w:r>
        <w:t xml:space="preserve">).</w:t>
      </w:r>
      <w:r/>
    </w:p>
    <w:p>
      <w:pPr>
        <w:pStyle w:val="973"/>
      </w:pPr>
      <w:r/>
      <w:bookmarkStart w:id="1196" w:name="OLE_LINK88"/>
      <w:r/>
      <w:bookmarkStart w:id="1197" w:name="OLE_LINK8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00625" cy="5534025"/>
                <wp:effectExtent l="19050" t="0" r="9525" b="0"/>
                <wp:docPr id="131" name="Рисунок 73" descr="020 Подпись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3" descr="020 Подпись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5000625" cy="553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mso-wrap-distance-left:0.0pt;mso-wrap-distance-top:0.0pt;mso-wrap-distance-right:0.0pt;mso-wrap-distance-bottom:0.0pt;width:393.8pt;height:435.8pt;" stroked="f" strokeweight="0.75pt">
                <v:path textboxrect="0,0,0,0"/>
                <v:imagedata r:id="rId143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98" w:name="_Ref486933568"/>
      <w:r/>
      <w:bookmarkStart w:id="1199" w:name="_Toc20229628"/>
      <w:r/>
      <w:bookmarkStart w:id="1200" w:name="_Toc59804539"/>
      <w:r>
        <w:t xml:space="preserve">84</w:t>
      </w:r>
      <w:bookmarkEnd w:id="1198"/>
      <w:r>
        <w:fldChar w:fldCharType="end"/>
      </w:r>
      <w:r>
        <w:t xml:space="preserve">. Окно «Документ на подпись»</w:t>
      </w:r>
      <w:bookmarkEnd w:id="1199"/>
      <w:r/>
      <w:bookmarkEnd w:id="1200"/>
      <w:r/>
      <w:bookmarkEnd w:id="1196"/>
      <w:bookmarkEnd w:id="1197"/>
      <w:r/>
    </w:p>
    <w:p>
      <w:pPr>
        <w:pStyle w:val="1147"/>
        <w:numPr>
          <w:ilvl w:val="0"/>
          <w:numId w:val="1"/>
        </w:numPr>
        <w:keepNext/>
      </w:pPr>
      <w:r>
        <w:t xml:space="preserve">В окне «Выбор сертификата пользователя» выбрать сертификат и нажать </w:t>
      </w:r>
      <w:r>
        <w:t xml:space="preserve">кнопку «</w:t>
      </w:r>
      <w:r>
        <w:t xml:space="preserve">ОК» (</w:t>
      </w:r>
      <w:r>
        <w:t xml:space="preserve">рис. </w:t>
      </w:r>
      <w:r>
        <w:fldChar w:fldCharType="begin"/>
      </w:r>
      <w:r>
        <w:instrText xml:space="preserve"> REF _Ref486933583 \h </w:instrText>
      </w:r>
      <w:r>
        <w:fldChar w:fldCharType="separate"/>
      </w:r>
      <w:r>
        <w:t xml:space="preserve">85</w:t>
      </w:r>
      <w:r>
        <w:fldChar w:fldCharType="end"/>
      </w:r>
      <w:r>
        <w:t xml:space="preserve">).</w:t>
      </w:r>
      <w:r/>
    </w:p>
    <w:p>
      <w:pPr>
        <w:pStyle w:val="973"/>
      </w:pPr>
      <w:r/>
      <w:bookmarkStart w:id="1201" w:name="OLE_LINK90"/>
      <w:r/>
      <w:bookmarkStart w:id="1202" w:name="OLE_LINK9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24525" cy="4467225"/>
                <wp:effectExtent l="19050" t="0" r="9525" b="0"/>
                <wp:docPr id="132" name="Рисунок 74" descr="021 ПОдпись 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74" descr="021 ПОдпись 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4"/>
                        <a:stretch/>
                      </pic:blipFill>
                      <pic:spPr bwMode="auto">
                        <a:xfrm>
                          <a:off x="0" y="0"/>
                          <a:ext cx="5724524" cy="446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mso-wrap-distance-left:0.0pt;mso-wrap-distance-top:0.0pt;mso-wrap-distance-right:0.0pt;mso-wrap-distance-bottom:0.0pt;width:450.8pt;height:351.8pt;" stroked="f" strokeweight="0.75pt">
                <v:path textboxrect="0,0,0,0"/>
                <v:imagedata r:id="rId14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03" w:name="_Ref486933583"/>
      <w:r/>
      <w:bookmarkStart w:id="1204" w:name="_Toc20229629"/>
      <w:r/>
      <w:bookmarkStart w:id="1205" w:name="_Toc59804540"/>
      <w:r>
        <w:t xml:space="preserve">85</w:t>
      </w:r>
      <w:bookmarkEnd w:id="1203"/>
      <w:r>
        <w:fldChar w:fldCharType="end"/>
      </w:r>
      <w:r>
        <w:t xml:space="preserve">. Окно «Выбор сертификата пользователя»</w:t>
      </w:r>
      <w:bookmarkEnd w:id="1204"/>
      <w:r/>
      <w:bookmarkEnd w:id="1205"/>
      <w:r/>
      <w:bookmarkEnd w:id="1201"/>
      <w:bookmarkEnd w:id="1202"/>
      <w:r/>
    </w:p>
    <w:p>
      <w:pPr>
        <w:pStyle w:val="985"/>
      </w:pPr>
      <w:r>
        <w:t xml:space="preserve">В результате</w:t>
      </w:r>
      <w:r>
        <w:t xml:space="preserve"> успешного</w:t>
      </w:r>
      <w:r>
        <w:t xml:space="preserve"> выполнения операции документ </w:t>
      </w:r>
      <w:r>
        <w:t xml:space="preserve">перейдет на статус</w:t>
      </w:r>
      <w:r>
        <w:t xml:space="preserve"> «Утвержден»</w:t>
      </w:r>
      <w:r>
        <w:t xml:space="preserve">,</w:t>
      </w:r>
      <w:r>
        <w:t xml:space="preserve"> информация для постановки на учет ДО</w:t>
      </w:r>
      <w:r>
        <w:t xml:space="preserve"> </w:t>
      </w:r>
      <w:r>
        <w:t xml:space="preserve">автоматически направлена на согласование в ФК. При этом в колонке «ФК» отразится желтый фонарь.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206" w:name="_Toc487019720"/>
      <w:r/>
      <w:bookmarkStart w:id="1207" w:name="_Toc487028516"/>
      <w:r/>
      <w:bookmarkStart w:id="1208" w:name="_Toc20229514"/>
      <w:r/>
      <w:bookmarkStart w:id="1209" w:name="_Toc62446056"/>
      <w:r/>
      <w:bookmarkStart w:id="1210" w:name="_Toc470082693"/>
      <w:r/>
      <w:bookmarkStart w:id="1211" w:name="_Toc452115261"/>
      <w:r/>
      <w:bookmarkStart w:id="1212" w:name="OLE_LINK94"/>
      <w:r/>
      <w:bookmarkStart w:id="1213" w:name="OLE_LINK95"/>
      <w:r/>
      <w:bookmarkStart w:id="1214" w:name="OLE_LINK129"/>
      <w:r/>
      <w:bookmarkStart w:id="1215" w:name="OLE_LINK130"/>
      <w:r>
        <w:t xml:space="preserve">Отправка на доработку документа «Сведения о ДО» со статуса «На согласовании» и его дальнейшая обработка</w:t>
      </w:r>
      <w:bookmarkEnd w:id="1206"/>
      <w:r/>
      <w:bookmarkEnd w:id="1207"/>
      <w:r/>
      <w:bookmarkEnd w:id="1208"/>
      <w:r/>
      <w:bookmarkEnd w:id="1209"/>
      <w:r/>
      <w:r/>
    </w:p>
    <w:p>
      <w:pPr>
        <w:pStyle w:val="985"/>
      </w:pPr>
      <w:r>
        <w:t xml:space="preserve">В случае отказа согласовать документ «Сведения о ДО»</w:t>
      </w:r>
      <w:r>
        <w:t xml:space="preserve">,</w:t>
      </w:r>
      <w:r>
        <w:t xml:space="preserve"> согласующему необходимо нажать </w:t>
      </w:r>
      <w:r>
        <w:t xml:space="preserve">кнопку «</w:t>
      </w:r>
      <w:r>
        <w:t xml:space="preserve">На доработку» (</w:t>
      </w:r>
      <w:r>
        <w:t xml:space="preserve">рис. </w:t>
      </w:r>
      <w:r>
        <w:fldChar w:fldCharType="begin"/>
      </w:r>
      <w:r>
        <w:instrText xml:space="preserve"> REF _Ref487020701 \h </w:instrText>
      </w:r>
      <w:r>
        <w:fldChar w:fldCharType="separate"/>
      </w:r>
      <w:r>
        <w:t xml:space="preserve">81</w:t>
      </w:r>
      <w:r>
        <w:fldChar w:fldCharType="end"/>
      </w:r>
      <w:r>
        <w:t xml:space="preserve">), при этом необходимо обязательно указать причину отклонения в поле «Примечание».</w:t>
      </w:r>
      <w:r/>
    </w:p>
    <w:p>
      <w:pPr>
        <w:pStyle w:val="985"/>
      </w:pPr>
      <w:r>
        <w:t xml:space="preserve">В результате выполнения операции «На доработку» согласующим, документ изменит свой статус на «Не согласован» (</w:t>
      </w:r>
      <w:r>
        <w:t xml:space="preserve">рис. </w:t>
      </w:r>
      <w:r>
        <w:fldChar w:fldCharType="begin"/>
      </w:r>
      <w:r>
        <w:instrText xml:space="preserve"> REF _Ref487017520 \h </w:instrText>
      </w:r>
      <w:r>
        <w:fldChar w:fldCharType="separate"/>
      </w:r>
      <w:r>
        <w:t xml:space="preserve">86</w:t>
      </w:r>
      <w:r>
        <w:fldChar w:fldCharType="end"/>
      </w:r>
      <w:r>
        <w:t xml:space="preserve">), а в документе на вкладке «Лист согласования»</w:t>
      </w:r>
      <w:r>
        <w:t xml:space="preserve"> </w:t>
      </w:r>
      <w:r>
        <w:t xml:space="preserve">будет указана причина отклонения документа.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86150" cy="1133475"/>
                <wp:effectExtent l="19050" t="0" r="0" b="0"/>
                <wp:docPr id="133" name="Рисунок 25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2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348615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mso-wrap-distance-left:0.0pt;mso-wrap-distance-top:0.0pt;mso-wrap-distance-right:0.0pt;mso-wrap-distance-bottom:0.0pt;width:274.5pt;height:89.2pt;" stroked="f" strokeweight="0.75pt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pStyle w:val="974"/>
      </w:pPr>
      <w:r/>
      <w:bookmarkStart w:id="1216" w:name="_Ref487017520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17" w:name="_Toc20229630"/>
      <w:r/>
      <w:bookmarkStart w:id="1218" w:name="_Toc59804541"/>
      <w:r>
        <w:t xml:space="preserve">86</w:t>
      </w:r>
      <w:r>
        <w:fldChar w:fldCharType="end"/>
      </w:r>
      <w:bookmarkEnd w:id="1216"/>
      <w:r>
        <w:t xml:space="preserve">. Экземпляр формуляра «</w:t>
      </w:r>
      <w:r>
        <w:t xml:space="preserve">Сведения о ДО» на статусе «Требует доработки»</w:t>
      </w:r>
      <w:bookmarkEnd w:id="1217"/>
      <w:r/>
      <w:bookmarkEnd w:id="1218"/>
      <w:r/>
      <w:r/>
    </w:p>
    <w:p>
      <w:pPr>
        <w:pStyle w:val="986"/>
      </w:pPr>
      <w:r>
        <w:t xml:space="preserve">Для того</w:t>
      </w:r>
      <w:r>
        <w:t xml:space="preserve"> чтобы поправить документ и продолжить работу с ним необходимо:</w:t>
      </w:r>
      <w:r/>
    </w:p>
    <w:p>
      <w:pPr>
        <w:pStyle w:val="1147"/>
        <w:numPr>
          <w:ilvl w:val="0"/>
          <w:numId w:val="9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Сведения о денежных обязательствах – </w:t>
      </w:r>
      <w:r>
        <w:t xml:space="preserve">Требу</w:t>
      </w:r>
      <w:r>
        <w:t xml:space="preserve">ю</w:t>
      </w:r>
      <w:r>
        <w:t xml:space="preserve">т доработки</w:t>
      </w:r>
      <w:r>
        <w:t xml:space="preserve"> (Мое)</w:t>
      </w:r>
      <w:r>
        <w:t xml:space="preserve">»</w:t>
      </w:r>
      <w:r>
        <w:t xml:space="preserve">.</w:t>
      </w:r>
      <w:r/>
    </w:p>
    <w:p>
      <w:pPr>
        <w:pStyle w:val="1147"/>
        <w:numPr>
          <w:ilvl w:val="0"/>
          <w:numId w:val="9"/>
        </w:numPr>
      </w:pPr>
      <w:r>
        <w:t xml:space="preserve">Выбрать нужный документ на статусе «Требует доработки».</w:t>
      </w:r>
      <w:r/>
    </w:p>
    <w:p>
      <w:pPr>
        <w:pStyle w:val="1147"/>
        <w:numPr>
          <w:ilvl w:val="0"/>
          <w:numId w:val="1"/>
        </w:numPr>
      </w:pP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68274" cy="256610"/>
                <wp:effectExtent l="0" t="0" r="0" b="0"/>
                <wp:docPr id="134" name="Рисунок 25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270510" cy="2587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mso-wrap-distance-left:0.0pt;mso-wrap-distance-top:0.0pt;mso-wrap-distance-right:0.0pt;mso-wrap-distance-bottom:0.0pt;width:21.1pt;height:20.2pt;" stroked="f" strokeweight="0.75pt">
                <v:path textboxrect="0,0,0,0"/>
                <v:imagedata r:id="rId146" o:title=""/>
              </v:shape>
            </w:pict>
          </mc:Fallback>
        </mc:AlternateContent>
      </w:r>
      <w:r>
        <w:t xml:space="preserve"> (Взять в работу). Взять в работу документ сможет Исполнитель, т.е. пользователь </w:t>
      </w:r>
      <w:r>
        <w:t xml:space="preserve">с </w:t>
      </w:r>
      <w:r>
        <w:t xml:space="preserve">ролью «Ответственный исполнитель». </w:t>
      </w:r>
      <w:r/>
    </w:p>
    <w:p>
      <w:pPr>
        <w:pStyle w:val="1147"/>
        <w:numPr>
          <w:ilvl w:val="0"/>
          <w:numId w:val="1"/>
        </w:numPr>
      </w:pPr>
      <w:r>
        <w:t xml:space="preserve">После взятия в работу документ перейдет в статус «Новый» и его можно будет редактировать, нажав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7507" cy="225631"/>
                <wp:effectExtent l="0" t="0" r="0" b="0"/>
                <wp:docPr id="135" name="Рисунок 25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4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241300" cy="2292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4" o:spid="_x0000_s134" type="#_x0000_t75" style="mso-wrap-distance-left:0.0pt;mso-wrap-distance-top:0.0pt;mso-wrap-distance-right:0.0pt;mso-wrap-distance-bottom:0.0pt;width:18.7pt;height:17.8pt;" stroked="f" strokeweight="0.75pt">
                <v:path textboxrect="0,0,0,0"/>
                <v:imagedata r:id="rId147" o:title=""/>
              </v:shape>
            </w:pict>
          </mc:Fallback>
        </mc:AlternateContent>
      </w:r>
      <w:r>
        <w:t xml:space="preserve"> (Открыть документ на редактирование). </w:t>
      </w:r>
      <w:r/>
    </w:p>
    <w:p>
      <w:pPr>
        <w:pStyle w:val="985"/>
      </w:pPr>
      <w:r>
        <w:t xml:space="preserve">Далее необходимо будет опять отправить докуме</w:t>
      </w:r>
      <w:r>
        <w:t xml:space="preserve">нт на согласование/утверждение.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219" w:name="_Toc486936345"/>
      <w:r/>
      <w:bookmarkStart w:id="1220" w:name="_Toc487019721"/>
      <w:r/>
      <w:bookmarkStart w:id="1221" w:name="_Toc487028517"/>
      <w:r/>
      <w:bookmarkStart w:id="1222" w:name="_Toc20229515"/>
      <w:r/>
      <w:bookmarkStart w:id="1223" w:name="_Toc62446057"/>
      <w:r>
        <w:t xml:space="preserve">Отправка на доработку документа «Сведения о ДО» со статуса «На утверждении» и его дальнейшая обработка</w:t>
      </w:r>
      <w:bookmarkEnd w:id="1219"/>
      <w:r/>
      <w:bookmarkEnd w:id="1220"/>
      <w:r/>
      <w:bookmarkEnd w:id="1221"/>
      <w:r/>
      <w:bookmarkEnd w:id="1222"/>
      <w:r/>
      <w:bookmarkEnd w:id="1223"/>
      <w:r/>
      <w:r/>
    </w:p>
    <w:p>
      <w:pPr>
        <w:pStyle w:val="985"/>
      </w:pPr>
      <w:r>
        <w:t xml:space="preserve">В случае отказа утверждать документ «Сведения о ДО» утверждающему необходимо нажать </w:t>
      </w:r>
      <w:r>
        <w:t xml:space="preserve">кнопку «</w:t>
      </w:r>
      <w:r>
        <w:t xml:space="preserve">Отправить на доработку» (</w:t>
      </w:r>
      <w:r>
        <w:t xml:space="preserve">рис. </w:t>
      </w:r>
      <w:r>
        <w:fldChar w:fldCharType="begin"/>
      </w:r>
      <w:r>
        <w:instrText xml:space="preserve"> REF _Ref487020750 \h </w:instrText>
      </w:r>
      <w:r>
        <w:fldChar w:fldCharType="separate"/>
      </w:r>
      <w:r>
        <w:t xml:space="preserve">83</w:t>
      </w:r>
      <w:r>
        <w:fldChar w:fldCharType="end"/>
      </w:r>
      <w:r>
        <w:t xml:space="preserve">), при этом необходимо обязательно указать причину отклонения в поле «Примечание».</w:t>
      </w:r>
      <w:r/>
    </w:p>
    <w:p>
      <w:pPr>
        <w:pStyle w:val="985"/>
      </w:pPr>
      <w:r>
        <w:t xml:space="preserve">В результате выполнения операции «Отправить на доработку» документ изменит свой статус на «Требует доработки» (</w:t>
      </w:r>
      <w:r>
        <w:t xml:space="preserve">рис. </w:t>
      </w:r>
      <w:r>
        <w:fldChar w:fldCharType="begin"/>
      </w:r>
      <w:r>
        <w:instrText xml:space="preserve"> REF _Ref487020760 \h </w:instrText>
      </w:r>
      <w:r>
        <w:fldChar w:fldCharType="separate"/>
      </w:r>
      <w:r>
        <w:t xml:space="preserve">87</w:t>
      </w:r>
      <w:r>
        <w:fldChar w:fldCharType="end"/>
      </w:r>
      <w:r>
        <w:t xml:space="preserve">), а в документе на вкладке «Лист согласования» будет указана причина отклонения документа.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486150" cy="1133475"/>
                <wp:effectExtent l="19050" t="0" r="0" b="0"/>
                <wp:docPr id="136" name="Рисунок 25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5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5"/>
                        <a:stretch/>
                      </pic:blipFill>
                      <pic:spPr bwMode="auto">
                        <a:xfrm>
                          <a:off x="0" y="0"/>
                          <a:ext cx="348615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5" o:spid="_x0000_s135" type="#_x0000_t75" style="mso-wrap-distance-left:0.0pt;mso-wrap-distance-top:0.0pt;mso-wrap-distance-right:0.0pt;mso-wrap-distance-bottom:0.0pt;width:274.5pt;height:89.2pt;" stroked="f" strokeweight="0.75pt">
                <v:path textboxrect="0,0,0,0"/>
                <v:imagedata r:id="rId145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24" w:name="_Ref487020760"/>
      <w:r/>
      <w:bookmarkStart w:id="1225" w:name="_Toc20229631"/>
      <w:r/>
      <w:bookmarkStart w:id="1226" w:name="_Toc59804542"/>
      <w:r>
        <w:t xml:space="preserve">87</w:t>
      </w:r>
      <w:bookmarkEnd w:id="1224"/>
      <w:r>
        <w:fldChar w:fldCharType="end"/>
      </w:r>
      <w:r>
        <w:t xml:space="preserve">. Экземпляр формуляра «Сведения о ДО» на статусе «Требует доработки»</w:t>
      </w:r>
      <w:bookmarkEnd w:id="1225"/>
      <w:r/>
      <w:bookmarkEnd w:id="1226"/>
      <w:r/>
      <w:r/>
    </w:p>
    <w:p>
      <w:pPr>
        <w:pStyle w:val="986"/>
      </w:pPr>
      <w:r>
        <w:t xml:space="preserve">Для того чтобы поправить документ и продолжить работу с ним необходимо:</w:t>
      </w:r>
      <w:r/>
    </w:p>
    <w:p>
      <w:pPr>
        <w:pStyle w:val="1147"/>
        <w:numPr>
          <w:ilvl w:val="0"/>
          <w:numId w:val="10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Сведения о денежных обязательствах – Требуют доработки (Мое)</w:t>
      </w:r>
      <w:r>
        <w:t xml:space="preserve">»</w:t>
      </w:r>
      <w:r>
        <w:t xml:space="preserve">.</w:t>
      </w:r>
      <w:r/>
    </w:p>
    <w:p>
      <w:pPr>
        <w:pStyle w:val="1147"/>
        <w:numPr>
          <w:ilvl w:val="0"/>
          <w:numId w:val="10"/>
        </w:numPr>
      </w:pPr>
      <w:r>
        <w:t xml:space="preserve">Выбрать нужный документ на статусе «Требует доработки».</w:t>
      </w:r>
      <w:r/>
    </w:p>
    <w:p>
      <w:pPr>
        <w:pStyle w:val="1147"/>
        <w:numPr>
          <w:ilvl w:val="0"/>
          <w:numId w:val="1"/>
        </w:numPr>
      </w:pP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3133" cy="261257"/>
                <wp:effectExtent l="0" t="0" r="0" b="0"/>
                <wp:docPr id="137" name="Рисунок 25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6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6"/>
                        <a:stretch/>
                      </pic:blipFill>
                      <pic:spPr bwMode="auto">
                        <a:xfrm>
                          <a:off x="0" y="0"/>
                          <a:ext cx="275409" cy="2634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6" o:spid="_x0000_s136" type="#_x0000_t75" style="mso-wrap-distance-left:0.0pt;mso-wrap-distance-top:0.0pt;mso-wrap-distance-right:0.0pt;mso-wrap-distance-bottom:0.0pt;width:21.5pt;height:20.6pt;" stroked="f" strokeweight="0.75pt">
                <v:path textboxrect="0,0,0,0"/>
                <v:imagedata r:id="rId146" o:title=""/>
              </v:shape>
            </w:pict>
          </mc:Fallback>
        </mc:AlternateContent>
      </w:r>
      <w:r>
        <w:t xml:space="preserve"> (Взять в работу). Взять в работу документ сможет Исполнитель, т.е. пользователь </w:t>
      </w:r>
      <w:r>
        <w:t xml:space="preserve">с </w:t>
      </w:r>
      <w:r>
        <w:t xml:space="preserve">ролью «Ответственный исполнитель». </w:t>
      </w:r>
      <w:r/>
    </w:p>
    <w:p>
      <w:pPr>
        <w:pStyle w:val="1147"/>
        <w:numPr>
          <w:ilvl w:val="0"/>
          <w:numId w:val="1"/>
        </w:numPr>
      </w:pPr>
      <w:r>
        <w:t xml:space="preserve">После взятия в работу документ перейдет в статус «Новый» и его можно будет редактировать, нажав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5007" cy="213756"/>
                <wp:effectExtent l="0" t="0" r="0" b="0"/>
                <wp:docPr id="138" name="Рисунок 25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7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232078" cy="2204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7" o:spid="_x0000_s137" type="#_x0000_t75" style="mso-wrap-distance-left:0.0pt;mso-wrap-distance-top:0.0pt;mso-wrap-distance-right:0.0pt;mso-wrap-distance-bottom:0.0pt;width:17.7pt;height:16.8pt;" stroked="f" strokeweight="0.75pt">
                <v:path textboxrect="0,0,0,0"/>
                <v:imagedata r:id="rId147" o:title=""/>
              </v:shape>
            </w:pict>
          </mc:Fallback>
        </mc:AlternateContent>
      </w:r>
      <w:r>
        <w:t xml:space="preserve"> (Открыть документ на редактирование). </w:t>
      </w:r>
      <w:r/>
    </w:p>
    <w:p>
      <w:pPr>
        <w:pStyle w:val="985"/>
      </w:pPr>
      <w:r>
        <w:t xml:space="preserve">Далее необходимо будет опять отправить документ на согласование/утверждение.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227" w:name="_Toc20229516"/>
      <w:r/>
      <w:bookmarkStart w:id="1228" w:name="_Toc62446058"/>
      <w:r/>
      <w:bookmarkStart w:id="1229" w:name="_Toc487019722"/>
      <w:r/>
      <w:bookmarkStart w:id="1230" w:name="_Toc487028518"/>
      <w:r>
        <w:t xml:space="preserve">Отзыв документа «Сведения о ДО»</w:t>
      </w:r>
      <w:bookmarkEnd w:id="1227"/>
      <w:r/>
      <w:bookmarkEnd w:id="1228"/>
      <w:r/>
      <w:r/>
    </w:p>
    <w:p>
      <w:pPr>
        <w:pStyle w:val="964"/>
      </w:pPr>
      <w:r>
        <w:t xml:space="preserve">Условия выполнения </w:t>
      </w:r>
      <w:r>
        <w:t xml:space="preserve">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документ не был утвержден в ФК</w:t>
      </w:r>
      <w:r>
        <w:t xml:space="preserve">;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</w:pPr>
      <w:r>
        <w:t xml:space="preserve">пользователю предоставлен доступ к среде проведения Испытаний. Описание среды для проведения Испытаний будет доведено до участников Испытаний Заказчиком дополнительно до проведения соответствующих Испытаний;</w:t>
      </w:r>
      <w:r/>
    </w:p>
    <w:p>
      <w:pPr>
        <w:pStyle w:val="976"/>
      </w:pPr>
      <w:r>
        <w:t xml:space="preserve">есть пользователи, привязанные к организации ТОФК, с ролями:</w:t>
      </w:r>
      <w:r/>
    </w:p>
    <w:p>
      <w:pPr>
        <w:pStyle w:val="977"/>
      </w:pPr>
      <w:r>
        <w:t xml:space="preserve">БО.001 Клиент.Ввод данных СБО (ПБС);</w:t>
      </w:r>
      <w:r/>
    </w:p>
    <w:p>
      <w:pPr>
        <w:pStyle w:val="977"/>
      </w:pPr>
      <w:r>
        <w:t xml:space="preserve">БО.002 Клиент.Согласование данных СБО (ПБС);</w:t>
      </w:r>
      <w:r/>
    </w:p>
    <w:p>
      <w:pPr>
        <w:pStyle w:val="977"/>
      </w:pPr>
      <w:r>
        <w:t xml:space="preserve">БО.003 Клиент.Утверждение СБО (ПБС).</w:t>
      </w:r>
      <w:r/>
    </w:p>
    <w:p>
      <w:pPr>
        <w:pStyle w:val="964"/>
      </w:pPr>
      <w:r>
        <w:t xml:space="preserve">Последовательность действий</w:t>
      </w:r>
      <w:r/>
    </w:p>
    <w:p>
      <w:pPr>
        <w:pStyle w:val="1147"/>
        <w:numPr>
          <w:ilvl w:val="0"/>
          <w:numId w:val="14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денежных обязательств</w:t>
      </w:r>
      <w:r>
        <w:t xml:space="preserve"> – Сведения о денежных обязательствах – Все документы (Клиент)».</w:t>
      </w:r>
      <w:r/>
    </w:p>
    <w:p>
      <w:pPr>
        <w:pStyle w:val="1147"/>
      </w:pPr>
      <w:r>
        <w:t xml:space="preserve">Выбрать с помощью </w:t>
      </w:r>
      <w:r>
        <w:rPr>
          <w:rStyle w:val="1220"/>
        </w:rPr>
        <w:t xml:space="preserve">чекбокса</w:t>
      </w:r>
      <w:r>
        <w:t xml:space="preserve"> нужный документ, по которому еще не принято решение, и </w:t>
      </w:r>
      <w:r>
        <w:t xml:space="preserve">нажать кнопку «</w:t>
      </w:r>
      <w:r>
        <w:t xml:space="preserve">Отозвать</w:t>
      </w:r>
      <w:r>
        <w:t xml:space="preserve">».</w:t>
      </w:r>
      <w:r>
        <w:t xml:space="preserve"> В результате файл перейдет на статус «Отозван», индикатор фонарной группы ФК сменит цвет с желтого на серый, а документ </w:t>
      </w:r>
      <w:r>
        <w:t xml:space="preserve">«</w:t>
      </w:r>
      <w:r>
        <w:t xml:space="preserve">Решение о регистрации</w:t>
      </w:r>
      <w:r>
        <w:t xml:space="preserve">»</w:t>
      </w:r>
      <w:r>
        <w:t xml:space="preserve"> перейдет на статус «Архив».</w:t>
      </w:r>
      <w:r/>
    </w:p>
    <w:p>
      <w:pPr>
        <w:pStyle w:val="1147"/>
      </w:pPr>
      <w:r>
        <w:t xml:space="preserve">При необходимости можно возобновить работу с отозванным документом, выбрав с помощью </w:t>
      </w:r>
      <w:r>
        <w:rPr>
          <w:rStyle w:val="1220"/>
        </w:rPr>
        <w:t xml:space="preserve">чекбокса</w:t>
      </w:r>
      <w:r>
        <w:t xml:space="preserve"> экземпляр формуляра на статусе «Отозван» и нажав на </w:t>
      </w:r>
      <w:r>
        <w:t xml:space="preserve">кнопку «</w:t>
      </w:r>
      <w:r>
        <w:t xml:space="preserve">Взять в работу</w:t>
      </w:r>
      <w:r>
        <w:t xml:space="preserve">». В этом случае документ изменит статус на «Новый».</w:t>
      </w:r>
      <w:r/>
    </w:p>
    <w:p>
      <w:pPr>
        <w:pStyle w:val="963"/>
      </w:pPr>
      <w:r/>
      <w:bookmarkStart w:id="1231" w:name="_Toc20229517"/>
      <w:r/>
      <w:bookmarkStart w:id="1232" w:name="_Ref20229647"/>
      <w:r/>
      <w:bookmarkStart w:id="1233" w:name="_Toc62446059"/>
      <w:r>
        <w:t xml:space="preserve">Печать документа</w:t>
      </w:r>
      <w:r>
        <w:t xml:space="preserve"> (нескольких документов)</w:t>
      </w:r>
      <w:r>
        <w:t xml:space="preserve"> «Сведения о ДО»</w:t>
      </w:r>
      <w:bookmarkEnd w:id="1210"/>
      <w:r/>
      <w:bookmarkEnd w:id="1229"/>
      <w:r/>
      <w:bookmarkEnd w:id="1230"/>
      <w:r>
        <w:t xml:space="preserve">, печать списка документов</w:t>
      </w:r>
      <w:bookmarkEnd w:id="1231"/>
      <w:r/>
      <w:bookmarkEnd w:id="1232"/>
      <w:r/>
      <w:bookmarkEnd w:id="1233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7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7"/>
      </w:pPr>
      <w:r>
        <w:t xml:space="preserve">дата обработки документа больше и равна дате начала действия функциональности СКП.</w:t>
      </w:r>
      <w:r/>
    </w:p>
    <w:p>
      <w:pPr>
        <w:pStyle w:val="964"/>
      </w:pPr>
      <w:r>
        <w:t xml:space="preserve">Последовательность действий</w:t>
      </w:r>
      <w:r/>
    </w:p>
    <w:p>
      <w:pPr>
        <w:pStyle w:val="985"/>
      </w:pPr>
      <w:r>
        <w:t xml:space="preserve">Для печати документа необходимо выполнить следующие действия:</w:t>
      </w:r>
      <w:r/>
    </w:p>
    <w:p>
      <w:pPr>
        <w:pStyle w:val="1147"/>
        <w:numPr>
          <w:ilvl w:val="0"/>
          <w:numId w:val="127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Денежные обязательства – Сведения о денежных обязательствах – Все документы (Клиент)»</w:t>
      </w:r>
      <w:r>
        <w:t xml:space="preserve">.</w:t>
      </w:r>
      <w:r/>
    </w:p>
    <w:p>
      <w:pPr>
        <w:pStyle w:val="1147"/>
        <w:numPr>
          <w:ilvl w:val="0"/>
          <w:numId w:val="1"/>
        </w:numPr>
      </w:pPr>
      <w:r>
        <w:t xml:space="preserve">На визуальной форме выбрать экземпляр формуляра «Сведения о ДО» и </w:t>
      </w: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28600"/>
                <wp:effectExtent l="19050" t="0" r="9525" b="0"/>
                <wp:docPr id="139" name="Рисунок 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8" o:spid="_x0000_s138" type="#_x0000_t75" style="mso-wrap-distance-left:0.0pt;mso-wrap-distance-top:0.0pt;mso-wrap-distance-right:0.0pt;mso-wrap-distance-bottom:0.0pt;width:21.8pt;height:18.0pt;" stroked="f" strokeweight="0.75pt">
                <v:path textboxrect="0,0,0,0"/>
                <v:imagedata r:id="rId148" o:title=""/>
              </v:shape>
            </w:pict>
          </mc:Fallback>
        </mc:AlternateContent>
      </w:r>
      <w:r>
        <w:t xml:space="preserve"> (Печать документа)</w:t>
      </w:r>
      <w:r>
        <w:t xml:space="preserve">.</w:t>
      </w:r>
      <w:r/>
    </w:p>
    <w:p>
      <w:pPr>
        <w:pStyle w:val="1147"/>
        <w:numPr>
          <w:ilvl w:val="0"/>
          <w:numId w:val="1"/>
        </w:numPr>
      </w:pPr>
      <w:r>
        <w:t xml:space="preserve">В открывшемся окне выбрать один из видов шаблона («XLS», «PDF» или «RTF») (</w:t>
      </w:r>
      <w:r>
        <w:t xml:space="preserve">рис. </w:t>
      </w:r>
      <w:r>
        <w:fldChar w:fldCharType="begin"/>
      </w:r>
      <w:r>
        <w:instrText xml:space="preserve"> REF _Ref20220770 \h </w:instrText>
      </w:r>
      <w:r>
        <w:fldChar w:fldCharType="separate"/>
      </w:r>
      <w:r>
        <w:t xml:space="preserve">88</w:t>
      </w:r>
      <w:r>
        <w:fldChar w:fldCharType="end"/>
      </w:r>
      <w:r>
        <w:t xml:space="preserve">) и нажать «</w:t>
      </w:r>
      <w:r>
        <w:rPr>
          <w:lang w:val="en-US"/>
        </w:rPr>
        <w:t xml:space="preserve">OK</w:t>
      </w:r>
      <w:r>
        <w:t xml:space="preserve">».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52381" cy="3819048"/>
                <wp:effectExtent l="0" t="0" r="0" b="0"/>
                <wp:docPr id="140" name="Рисунок 2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Snap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9"/>
                        <a:stretch/>
                      </pic:blipFill>
                      <pic:spPr bwMode="auto">
                        <a:xfrm>
                          <a:off x="0" y="0"/>
                          <a:ext cx="5752381" cy="3819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9" o:spid="_x0000_s139" type="#_x0000_t75" style="mso-wrap-distance-left:0.0pt;mso-wrap-distance-top:0.0pt;mso-wrap-distance-right:0.0pt;mso-wrap-distance-bottom:0.0pt;width:452.9pt;height:300.7pt;" stroked="false">
                <v:path textboxrect="0,0,0,0"/>
                <v:imagedata r:id="rId149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34" w:name="_Ref20220770"/>
      <w:r/>
      <w:bookmarkStart w:id="1235" w:name="_Toc20223929"/>
      <w:r/>
      <w:bookmarkStart w:id="1236" w:name="_Toc20229633"/>
      <w:r/>
      <w:bookmarkStart w:id="1237" w:name="_Toc59804543"/>
      <w:r>
        <w:t xml:space="preserve">88</w:t>
      </w:r>
      <w:bookmarkEnd w:id="1234"/>
      <w:r>
        <w:fldChar w:fldCharType="end"/>
      </w:r>
      <w:r>
        <w:t xml:space="preserve">. Выбор шаблона для вывода документа на печать</w:t>
      </w:r>
      <w:bookmarkEnd w:id="1235"/>
      <w:r/>
      <w:bookmarkEnd w:id="1236"/>
      <w:r/>
      <w:bookmarkEnd w:id="1237"/>
      <w:r/>
      <w:r/>
    </w:p>
    <w:p>
      <w:pPr>
        <w:pStyle w:val="985"/>
      </w:pPr>
      <w:r>
        <w:t xml:space="preserve">Печатная форма будет загружена на локальный диск ПК пользователя. Требуется открыть печатную форму с помощью ПО, доступного для выбранного формата шаблона (</w:t>
      </w:r>
      <w:r>
        <w:t xml:space="preserve">рис. </w:t>
      </w:r>
      <w:r>
        <w:fldChar w:fldCharType="begin"/>
      </w:r>
      <w:r>
        <w:instrText xml:space="preserve"> REF _Ref20229138 \h </w:instrText>
      </w:r>
      <w:r>
        <w:fldChar w:fldCharType="separate"/>
      </w:r>
      <w:r>
        <w:t xml:space="preserve">89</w:t>
      </w:r>
      <w:r>
        <w:fldChar w:fldCharType="end"/>
      </w:r>
      <w:r>
        <w:t xml:space="preserve">) и выполнить печать средствами данного ПО.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76950" cy="4343400"/>
                <wp:effectExtent l="19050" t="0" r="0" b="0"/>
                <wp:docPr id="141" name="Рисунок 260" descr="1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0" descr="17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0"/>
                        <a:stretch/>
                      </pic:blipFill>
                      <pic:spPr bwMode="auto">
                        <a:xfrm>
                          <a:off x="0" y="0"/>
                          <a:ext cx="6076950" cy="434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0" o:spid="_x0000_s140" type="#_x0000_t75" style="mso-wrap-distance-left:0.0pt;mso-wrap-distance-top:0.0pt;mso-wrap-distance-right:0.0pt;mso-wrap-distance-bottom:0.0pt;width:478.5pt;height:342.0pt;" stroked="f" strokeweight="0.75pt">
                <v:path textboxrect="0,0,0,0"/>
                <v:imagedata r:id="rId150" o:title=""/>
              </v:shape>
            </w:pict>
          </mc:Fallback>
        </mc:AlternateContent>
      </w:r>
      <w:r/>
    </w:p>
    <w:p>
      <w:pPr>
        <w:pStyle w:val="974"/>
      </w:pPr>
      <w:r/>
      <w:bookmarkStart w:id="1238" w:name="_Ref486934143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39" w:name="_Ref20229138"/>
      <w:r/>
      <w:bookmarkStart w:id="1240" w:name="_Toc20229634"/>
      <w:r/>
      <w:bookmarkStart w:id="1241" w:name="_Toc59804544"/>
      <w:r>
        <w:t xml:space="preserve">89</w:t>
      </w:r>
      <w:bookmarkEnd w:id="1239"/>
      <w:r>
        <w:fldChar w:fldCharType="end"/>
      </w:r>
      <w:bookmarkEnd w:id="1238"/>
      <w:r>
        <w:t xml:space="preserve">. Печатная форма документа «Сведения о ДО»</w:t>
      </w:r>
      <w:bookmarkEnd w:id="1240"/>
      <w:r/>
      <w:bookmarkEnd w:id="1241"/>
      <w:r/>
      <w:r/>
    </w:p>
    <w:p>
      <w:pPr>
        <w:pStyle w:val="1147"/>
      </w:pPr>
      <w:r>
        <w:t xml:space="preserve">Для пакетной печати документов «Сведения о ДО» необходимо выделить несколько требуемых документов на списковой форме и </w:t>
      </w:r>
      <w:r>
        <w:t xml:space="preserve">нажать 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28600"/>
                <wp:effectExtent l="19050" t="0" r="9525" b="0"/>
                <wp:docPr id="142" name="Рисунок 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8"/>
                        <a:stretch/>
                      </pic:blipFill>
                      <pic:spPr bwMode="auto">
                        <a:xfrm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1" o:spid="_x0000_s141" type="#_x0000_t75" style="mso-wrap-distance-left:0.0pt;mso-wrap-distance-top:0.0pt;mso-wrap-distance-right:0.0pt;mso-wrap-distance-bottom:0.0pt;width:21.8pt;height:18.0pt;" stroked="f" strokeweight="0.75pt">
                <v:path textboxrect="0,0,0,0"/>
                <v:imagedata r:id="rId148" o:title=""/>
              </v:shape>
            </w:pict>
          </mc:Fallback>
        </mc:AlternateContent>
      </w:r>
      <w:r>
        <w:t xml:space="preserve"> </w:t>
      </w:r>
      <w:r>
        <w:t xml:space="preserve">(</w:t>
      </w:r>
      <w:r>
        <w:t xml:space="preserve">Печать докумен</w:t>
      </w:r>
      <w:r>
        <w:t xml:space="preserve">та)</w:t>
      </w:r>
      <w:r>
        <w:t xml:space="preserve">.</w:t>
      </w:r>
      <w:r/>
    </w:p>
    <w:p>
      <w:pPr>
        <w:pStyle w:val="1147"/>
      </w:pPr>
      <w:r>
        <w:t xml:space="preserve">На локальный диск ПК пользователя будет загружен архив с расширением «.</w:t>
      </w:r>
      <w:r>
        <w:rPr>
          <w:lang w:val="en-US"/>
        </w:rPr>
        <w:t xml:space="preserve">zip</w:t>
      </w:r>
      <w:r>
        <w:t xml:space="preserve">». Данный архив требуется распаковать на локальном диске и выполнить печать документов вышеописанным образом</w:t>
      </w:r>
      <w:r/>
    </w:p>
    <w:p>
      <w:pPr>
        <w:pStyle w:val="1147"/>
      </w:pPr>
      <w:r>
        <w:t xml:space="preserve">Для печати списка всех документов необходимо, не выделяя документы в списковой форме, </w:t>
      </w:r>
      <w:r>
        <w:t xml:space="preserve">нажать 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57175"/>
                <wp:effectExtent l="19050" t="0" r="9525" b="0"/>
                <wp:docPr id="143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1"/>
                        <a:stretch/>
                      </pic:blipFill>
                      <pic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2" o:spid="_x0000_s142" type="#_x0000_t75" style="mso-wrap-distance-left:0.0pt;mso-wrap-distance-top:0.0pt;mso-wrap-distance-right:0.0pt;mso-wrap-distance-bottom:0.0pt;width:21.8pt;height:20.2pt;" stroked="f" strokeweight="0.75pt">
                <v:path textboxrect="0,0,0,0"/>
                <v:imagedata r:id="rId151" o:title=""/>
              </v:shape>
            </w:pict>
          </mc:Fallback>
        </mc:AlternateContent>
      </w:r>
      <w:r>
        <w:t xml:space="preserve"> </w:t>
      </w:r>
      <w:r>
        <w:t xml:space="preserve">(</w:t>
      </w:r>
      <w:r>
        <w:t xml:space="preserve">Печать списка</w:t>
      </w:r>
      <w:r>
        <w:t xml:space="preserve">)</w:t>
      </w:r>
      <w:r>
        <w:t xml:space="preserve">. Для печати списка отдельных документов их нужно отметить на списковой форме и нажать </w:t>
      </w:r>
      <w:r>
        <w:t xml:space="preserve">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57175"/>
                <wp:effectExtent l="19050" t="0" r="9525" b="0"/>
                <wp:docPr id="144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1"/>
                        <a:stretch/>
                      </pic:blipFill>
                      <pic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3" o:spid="_x0000_s143" type="#_x0000_t75" style="mso-wrap-distance-left:0.0pt;mso-wrap-distance-top:0.0pt;mso-wrap-distance-right:0.0pt;mso-wrap-distance-bottom:0.0pt;width:21.8pt;height:20.2pt;" stroked="f" strokeweight="0.75pt">
                <v:path textboxrect="0,0,0,0"/>
                <v:imagedata r:id="rId151" o:title=""/>
              </v:shape>
            </w:pict>
          </mc:Fallback>
        </mc:AlternateContent>
      </w:r>
      <w:r>
        <w:t xml:space="preserve"> </w:t>
      </w:r>
      <w:r>
        <w:t xml:space="preserve">(</w:t>
      </w:r>
      <w:r>
        <w:t xml:space="preserve">Печать списка</w:t>
      </w:r>
      <w:r>
        <w:t xml:space="preserve">)</w:t>
      </w:r>
      <w:r>
        <w:t xml:space="preserve">.</w:t>
      </w:r>
      <w:r/>
    </w:p>
    <w:p>
      <w:pPr>
        <w:pStyle w:val="1147"/>
      </w:pPr>
      <w:r>
        <w:t xml:space="preserve">На локальный диск ПК будет выгружен файл в формате .</w:t>
      </w:r>
      <w:r>
        <w:rPr>
          <w:lang w:val="en-US"/>
        </w:rPr>
        <w:t xml:space="preserve">xls</w:t>
      </w:r>
      <w:r>
        <w:t xml:space="preserve">, содержащий в себе список выбранных документов «Сведения о ДО», который необходимо вывести на печать с помощью соответствующего ПО.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242" w:name="_Toc20229518"/>
      <w:r/>
      <w:bookmarkStart w:id="1243" w:name="_Toc62446060"/>
      <w:r/>
      <w:bookmarkStart w:id="1244" w:name="_Toc487019723"/>
      <w:r/>
      <w:bookmarkStart w:id="1245" w:name="_Toc487028519"/>
      <w:r>
        <w:t xml:space="preserve">Получение из внешних систем документа «Сведения о ДО»</w:t>
      </w:r>
      <w:bookmarkEnd w:id="1242"/>
      <w:r/>
      <w:bookmarkEnd w:id="1243"/>
      <w:r/>
      <w:r/>
    </w:p>
    <w:p>
      <w:pPr>
        <w:pStyle w:val="985"/>
        <w:ind w:left="111"/>
      </w:pPr>
      <w:r>
        <w:t xml:space="preserve">В ПУР ЭБ происходит автоматическая загрузка документа из внешних систем. </w:t>
      </w:r>
      <w:r/>
    </w:p>
    <w:p>
      <w:pPr>
        <w:pStyle w:val="986"/>
      </w:pPr>
      <w:r>
        <w:t xml:space="preserve">Для просмотра загруженного из внешней системы документа </w:t>
      </w:r>
      <w:r>
        <w:t xml:space="preserve">необходимо</w:t>
      </w:r>
      <w:r>
        <w:t xml:space="preserve">:</w:t>
      </w:r>
      <w:r/>
    </w:p>
    <w:p>
      <w:pPr>
        <w:pStyle w:val="1147"/>
        <w:numPr>
          <w:ilvl w:val="0"/>
          <w:numId w:val="16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денежных обязательств</w:t>
      </w:r>
      <w:r>
        <w:t xml:space="preserve"> – Сведения о денежных обязательствах – Все документы (Клиент)».</w:t>
      </w:r>
      <w:r>
        <w:t xml:space="preserve"> Откроется списковая форма документов.</w:t>
      </w:r>
      <w:r/>
    </w:p>
    <w:p>
      <w:pPr>
        <w:pStyle w:val="1147"/>
        <w:rPr>
          <w:rFonts w:eastAsia="Cambria"/>
        </w:rPr>
      </w:pPr>
      <w:r>
        <w:t xml:space="preserve">На списковой форме присутствует экземпляр формуляра «Сведения о ДО»</w:t>
      </w:r>
      <w:r>
        <w:t xml:space="preserve"> </w:t>
      </w:r>
      <w:r>
        <w:t xml:space="preserve">в статусе «Утвержден». Значение в поле «Источник» указано «Внешняя система».</w:t>
      </w:r>
      <w:r/>
    </w:p>
    <w:p>
      <w:pPr>
        <w:pStyle w:val="1147"/>
      </w:pPr>
      <w:r>
        <w:t xml:space="preserve">В случае успешного прохождения контролей индикатор фонарной группы «ФК» загорится желтым. Экземпляр формуляра «Сведения о ДО» будет готов для дальнейшего контроля Исполнителем ТОФК через вынесение решения и формирования формуляра «Решение о регистрации».</w:t>
      </w:r>
      <w:r/>
    </w:p>
    <w:p>
      <w:pPr>
        <w:pStyle w:val="1147"/>
      </w:pPr>
      <w:r>
        <w:t xml:space="preserve">В случае не успешного прохождения контролей индикатор фонарной группы «ФК» загорится красным. Автоматически будет сформирован экземпляр формуляра «Протокол» для дальнейшей обработки.</w:t>
      </w:r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246" w:name="_Toc20229519"/>
      <w:r/>
      <w:bookmarkStart w:id="1247" w:name="_Toc62446061"/>
      <w:r>
        <w:t xml:space="preserve">Экспорт документа «Сведения о ДО»</w:t>
      </w:r>
      <w:bookmarkEnd w:id="1244"/>
      <w:r/>
      <w:bookmarkEnd w:id="1245"/>
      <w:r/>
      <w:bookmarkEnd w:id="1246"/>
      <w:r/>
      <w:bookmarkEnd w:id="1247"/>
      <w:r/>
      <w:r/>
    </w:p>
    <w:p>
      <w:pPr>
        <w:pStyle w:val="964"/>
        <w:ind w:left="1304" w:hanging="1304"/>
        <w:tabs>
          <w:tab w:val="num" w:pos="1304" w:leader="none"/>
        </w:tabs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</w:pPr>
      <w:r>
        <w:t xml:space="preserve">наличие у пользователя соответствующих полномочий;</w:t>
      </w:r>
      <w:r/>
    </w:p>
    <w:p>
      <w:pPr>
        <w:pStyle w:val="976"/>
      </w:pPr>
      <w:r>
        <w:t xml:space="preserve">в Подсистеме существует электронный формуляр СДО с типом «Первичный»/«Изменение», обработанный в ТОФК.</w:t>
      </w:r>
      <w:r/>
    </w:p>
    <w:p>
      <w:pPr>
        <w:pStyle w:val="964"/>
        <w:ind w:left="1304" w:hanging="1304"/>
        <w:tabs>
          <w:tab w:val="num" w:pos="1304" w:leader="none"/>
        </w:tabs>
      </w:pPr>
      <w:r>
        <w:t xml:space="preserve">Последовательность действий</w:t>
      </w:r>
      <w:bookmarkEnd w:id="1211"/>
      <w:r/>
    </w:p>
    <w:p>
      <w:pPr>
        <w:pStyle w:val="986"/>
      </w:pPr>
      <w:r>
        <w:t xml:space="preserve">Для </w:t>
      </w:r>
      <w:r>
        <w:t xml:space="preserve">экспорта экземпляра формуляра «Сведения о ДО» необходимо выполнить следующие действия:</w:t>
      </w:r>
      <w:r/>
    </w:p>
    <w:p>
      <w:pPr>
        <w:pStyle w:val="1147"/>
        <w:numPr>
          <w:ilvl w:val="0"/>
          <w:numId w:val="30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денежных обязательств</w:t>
      </w:r>
      <w:r>
        <w:t xml:space="preserve"> – Сведения о денежных обязательствах – Все документы (Клиент)»</w:t>
      </w:r>
      <w:r>
        <w:t xml:space="preserve">.</w:t>
      </w:r>
      <w:r/>
    </w:p>
    <w:p>
      <w:pPr>
        <w:pStyle w:val="1147"/>
        <w:numPr>
          <w:ilvl w:val="0"/>
          <w:numId w:val="30"/>
        </w:numPr>
      </w:pPr>
      <w:r>
        <w:t xml:space="preserve">В списке документов выбрать экземпляр формуляра «Сведения о денежном обязательстве»</w:t>
      </w:r>
      <w:r>
        <w:t xml:space="preserve">,</w:t>
      </w:r>
      <w:r>
        <w:t xml:space="preserve"> и </w:t>
      </w:r>
      <w:r>
        <w:t xml:space="preserve">нажать </w:t>
      </w:r>
      <w:r>
        <w:t xml:space="preserve">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5300" cy="295275"/>
                <wp:effectExtent l="19050" t="0" r="0" b="0"/>
                <wp:docPr id="145" name="Рисунок 81" descr="01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1" descr="015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495300" cy="2952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4" o:spid="_x0000_s144" type="#_x0000_t75" style="mso-wrap-distance-left:0.0pt;mso-wrap-distance-top:0.0pt;mso-wrap-distance-right:0.0pt;mso-wrap-distance-bottom:0.0pt;width:39.0pt;height:23.2pt;" stroked="f" strokeweight="0.75pt">
                <v:path textboxrect="0,0,0,0"/>
                <v:imagedata r:id="rId40" o:title=""/>
              </v:shape>
            </w:pict>
          </mc:Fallback>
        </mc:AlternateContent>
      </w:r>
      <w:r>
        <w:t xml:space="preserve"> (Экспорт) (</w:t>
      </w:r>
      <w:r>
        <w:t xml:space="preserve">рис. </w:t>
      </w:r>
      <w:r>
        <w:fldChar w:fldCharType="begin"/>
      </w:r>
      <w:r>
        <w:instrText xml:space="preserve"> REF _Ref486934159 \h </w:instrText>
      </w:r>
      <w:r>
        <w:fldChar w:fldCharType="separate"/>
      </w:r>
      <w:r>
        <w:t xml:space="preserve">90</w:t>
      </w:r>
      <w:r>
        <w:fldChar w:fldCharType="end"/>
      </w:r>
      <w:r>
        <w:t xml:space="preserve">)</w:t>
      </w:r>
      <w:r>
        <w:t xml:space="preserve">,</w:t>
      </w:r>
      <w:r>
        <w:t xml:space="preserve"> и выбрать формат выгрузки «СЭД» или </w:t>
      </w:r>
      <w:r>
        <w:rPr>
          <w:lang w:val="en-US"/>
        </w:rPr>
        <w:t xml:space="preserve">XML</w:t>
      </w:r>
      <w:r>
        <w:t xml:space="preserve">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33725" cy="1238250"/>
                <wp:effectExtent l="19050" t="0" r="9525" b="0"/>
                <wp:docPr id="146" name="Рисунок 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2"/>
                        <a:stretch/>
                      </pic:blipFill>
                      <pic:spPr bwMode="auto">
                        <a:xfrm>
                          <a:off x="0" y="0"/>
                          <a:ext cx="3133725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5" o:spid="_x0000_s145" type="#_x0000_t75" style="mso-wrap-distance-left:0.0pt;mso-wrap-distance-top:0.0pt;mso-wrap-distance-right:0.0pt;mso-wrap-distance-bottom:0.0pt;width:246.8pt;height:97.5pt;" stroked="f" strokeweight="0.75pt">
                <v:path textboxrect="0,0,0,0"/>
                <v:imagedata r:id="rId152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48" w:name="_Ref486934159"/>
      <w:r/>
      <w:bookmarkStart w:id="1249" w:name="_Toc20229635"/>
      <w:r/>
      <w:bookmarkStart w:id="1250" w:name="_Toc59804545"/>
      <w:r>
        <w:t xml:space="preserve">90</w:t>
      </w:r>
      <w:bookmarkEnd w:id="1248"/>
      <w:r>
        <w:fldChar w:fldCharType="end"/>
      </w:r>
      <w:r>
        <w:t xml:space="preserve">. Выбор формата экспорта документа «Сведения о ДО»</w:t>
      </w:r>
      <w:bookmarkEnd w:id="1249"/>
      <w:r/>
      <w:bookmarkEnd w:id="1250"/>
      <w:r/>
      <w:r/>
    </w:p>
    <w:p>
      <w:pPr>
        <w:pStyle w:val="985"/>
      </w:pPr>
      <w:r>
        <w:t xml:space="preserve">В результате операции «Экспорт» будет сформирован файл документа.</w:t>
      </w:r>
      <w:r/>
    </w:p>
    <w:p>
      <w:pPr>
        <w:pStyle w:val="963"/>
        <w:ind w:left="964" w:hanging="964"/>
        <w:tabs>
          <w:tab w:val="clear" w:pos="720" w:leader="none"/>
        </w:tabs>
      </w:pPr>
      <w:r/>
      <w:bookmarkStart w:id="1251" w:name="_Toc487021669"/>
      <w:r/>
      <w:bookmarkStart w:id="1252" w:name="_Toc487023248"/>
      <w:r/>
      <w:bookmarkStart w:id="1253" w:name="_Toc487028520"/>
      <w:r/>
      <w:bookmarkStart w:id="1254" w:name="_Toc19880993"/>
      <w:r/>
      <w:bookmarkStart w:id="1255" w:name="_Ref19881108"/>
      <w:r/>
      <w:bookmarkStart w:id="1256" w:name="_Ref19882998"/>
      <w:r/>
      <w:bookmarkStart w:id="1257" w:name="_Toc20229520"/>
      <w:r/>
      <w:bookmarkStart w:id="1258" w:name="_Toc62446062"/>
      <w:r/>
      <w:bookmarkStart w:id="1259" w:name="_Toc452115265"/>
      <w:r/>
      <w:bookmarkStart w:id="1260" w:name="_Toc487019724"/>
      <w:r/>
      <w:bookmarkStart w:id="1261" w:name="_Toc487028521"/>
      <w:r/>
      <w:bookmarkEnd w:id="1188"/>
      <w:r/>
      <w:bookmarkEnd w:id="1212"/>
      <w:r/>
      <w:bookmarkEnd w:id="1213"/>
      <w:r/>
      <w:bookmarkEnd w:id="1214"/>
      <w:r/>
      <w:bookmarkEnd w:id="1215"/>
      <w:r/>
      <w:bookmarkEnd w:id="1251"/>
      <w:r/>
      <w:bookmarkEnd w:id="1252"/>
      <w:r/>
      <w:bookmarkEnd w:id="1253"/>
      <w:r>
        <w:t xml:space="preserve">Формирование СДО организациями, принявшими полномочия получателей бюджетных средств по 14 ЛС</w:t>
      </w:r>
      <w:bookmarkEnd w:id="1254"/>
      <w:r/>
      <w:bookmarkEnd w:id="1255"/>
      <w:r/>
      <w:bookmarkEnd w:id="1256"/>
      <w:r/>
      <w:bookmarkEnd w:id="1257"/>
      <w:r/>
      <w:bookmarkEnd w:id="1258"/>
      <w:r/>
      <w:r/>
    </w:p>
    <w:p>
      <w:pPr>
        <w:pStyle w:val="964"/>
        <w:ind w:left="1134" w:hanging="1134"/>
        <w:tabs>
          <w:tab w:val="clear" w:pos="864" w:leader="none"/>
        </w:tabs>
      </w:pPr>
      <w:r>
        <w:t xml:space="preserve">Условия выполнения операции</w:t>
      </w:r>
      <w:r/>
    </w:p>
    <w:p>
      <w:pPr>
        <w:pStyle w:val="985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справочнике «Типы документов» существует актуальная запись по проверяемому документу;</w:t>
      </w:r>
      <w:r/>
    </w:p>
    <w:p>
      <w:pPr>
        <w:pStyle w:val="976"/>
      </w:pPr>
      <w:r>
        <w:t xml:space="preserve">в справочнике «Лицевые счета» заведены записи по 14 ЛС;</w:t>
      </w:r>
      <w:r/>
    </w:p>
    <w:p>
      <w:pPr>
        <w:pStyle w:val="976"/>
      </w:pPr>
      <w:r>
        <w:t xml:space="preserve">в справочнике «Сводный реестр» у ГРБС во вкладке «Полномочия» в разделе «Сведения о лицевых счетах, открытых организации в территориальных органах Федерального казначейства» в поле «Код по Сводному рее</w:t>
      </w:r>
      <w:r>
        <w:t xml:space="preserve">стру получателя бюджетных средств, бюджетного (автономного) учреждения, организации либо иного юридического лица, принимающих бюджетные полномочия получателя бюджетных средств» стоит код по Сводному реестру организации, под которой выполнен вход в систему.</w:t>
      </w:r>
      <w:r/>
    </w:p>
    <w:p>
      <w:pPr>
        <w:pStyle w:val="987"/>
      </w:pPr>
      <w:r>
        <w:rPr>
          <w:rStyle w:val="992"/>
        </w:rPr>
        <w:t xml:space="preserve">Примечание.</w:t>
      </w:r>
      <w:r>
        <w:tab/>
        <w:t xml:space="preserve">Таблицу заполняет уполномоченная организация на включение сведений по этому ГРБС в справочник «Сводный реестр» в Модуле СВР НСИ ЭБ.</w:t>
      </w:r>
      <w:r/>
    </w:p>
    <w:p>
      <w:pPr>
        <w:pStyle w:val="964"/>
        <w:ind w:left="1134" w:hanging="1134"/>
        <w:tabs>
          <w:tab w:val="clear" w:pos="864" w:leader="none"/>
        </w:tabs>
      </w:pPr>
      <w:r>
        <w:t xml:space="preserve">Последовательность действий</w:t>
      </w:r>
      <w:r/>
    </w:p>
    <w:p>
      <w:pPr>
        <w:pStyle w:val="985"/>
      </w:pPr>
      <w:r>
        <w:t xml:space="preserve">Для формирования СДО организациями, принявшими полномочия получателя бюджетных средств, требуется выполнить следующие действия:</w:t>
      </w:r>
      <w:r/>
    </w:p>
    <w:p>
      <w:pPr>
        <w:pStyle w:val="1147"/>
        <w:numPr>
          <w:ilvl w:val="0"/>
          <w:numId w:val="122"/>
        </w:numPr>
        <w:rPr>
          <w:rFonts w:eastAsia="Cambria"/>
        </w:r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денежных обязательств</w:t>
      </w:r>
      <w:r>
        <w:t xml:space="preserve"> – Сведения о денежных обязательствах – Все документы (Клиент)»</w:t>
      </w:r>
      <w:r>
        <w:t xml:space="preserve">.</w:t>
      </w:r>
      <w:r/>
    </w:p>
    <w:p>
      <w:pPr>
        <w:pStyle w:val="1147"/>
        <w:numPr>
          <w:ilvl w:val="0"/>
          <w:numId w:val="1"/>
        </w:numPr>
        <w:rPr>
          <w:rFonts w:eastAsia="Cambria"/>
        </w:rPr>
      </w:pPr>
      <w:r>
        <w:rPr>
          <w:rFonts w:eastAsia="Cambria"/>
        </w:rPr>
        <w:t xml:space="preserve">В открывшейся списковой форме на панели инструментов </w:t>
      </w:r>
      <w:r>
        <w:rPr>
          <w:rFonts w:eastAsia="Cambria"/>
        </w:rP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" cy="228600"/>
                <wp:effectExtent l="0" t="0" r="9525" b="0"/>
                <wp:docPr id="147" name="Рисунок 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>
                          <a:off x="0" y="0"/>
                          <a:ext cx="485775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6" o:spid="_x0000_s146" type="#_x0000_t75" style="mso-wrap-distance-left:0.0pt;mso-wrap-distance-top:0.0pt;mso-wrap-distance-right:0.0pt;mso-wrap-distance-bottom:0.0pt;width:38.2pt;height:18.0pt;" stroked="false">
                <v:path textboxrect="0,0,0,0"/>
                <v:imagedata r:id="rId153" o:title=""/>
              </v:shape>
            </w:pict>
          </mc:Fallback>
        </mc:AlternateContent>
      </w:r>
      <w:r>
        <w:rPr>
          <w:rFonts w:eastAsia="Cambria"/>
        </w:rPr>
        <w:t xml:space="preserve">и в выпадающем списке выбрать пункт «Переданные полномочия». Выбранный режим отобразиться на экране в области настроек (</w:t>
      </w:r>
      <w:r>
        <w:rPr>
          <w:rFonts w:eastAsia="Cambria"/>
        </w:rPr>
        <w:t xml:space="preserve">рис. </w:t>
      </w:r>
      <w:r>
        <w:rPr>
          <w:rFonts w:eastAsia="Cambria"/>
        </w:rPr>
        <w:fldChar w:fldCharType="begin"/>
      </w:r>
      <w:r>
        <w:rPr>
          <w:rFonts w:eastAsia="Cambria"/>
        </w:rPr>
        <w:instrText xml:space="preserve"> REF _Ref19874798 \h </w:instrText>
      </w:r>
      <w:r>
        <w:rPr>
          <w:rFonts w:eastAsia="Cambria"/>
        </w:rPr>
        <w:fldChar w:fldCharType="separate"/>
      </w:r>
      <w:r>
        <w:t xml:space="preserve">91</w:t>
      </w:r>
      <w:r>
        <w:rPr>
          <w:rFonts w:eastAsia="Cambria"/>
        </w:rPr>
        <w:fldChar w:fldCharType="end"/>
      </w:r>
      <w:r>
        <w:rPr>
          <w:rFonts w:eastAsia="Cambria"/>
        </w:rPr>
        <w:t xml:space="preserve">).</w:t>
      </w:r>
      <w:r/>
    </w:p>
    <w:p>
      <w:pPr>
        <w:pStyle w:val="973"/>
        <w:rPr>
          <w:rFonts w:eastAsia="Cambria"/>
        </w:rPr>
      </w:pPr>
      <w:r>
        <w:rPr>
          <w:rFonts w:eastAsia="Cambria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19800" cy="1000760"/>
                <wp:effectExtent l="0" t="0" r="0" b="0"/>
                <wp:docPr id="148" name="Рисунок 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nap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4"/>
                        <a:stretch/>
                      </pic:blipFill>
                      <pic:spPr bwMode="auto">
                        <a:xfrm>
                          <a:off x="0" y="0"/>
                          <a:ext cx="6019800" cy="1000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7" o:spid="_x0000_s147" type="#_x0000_t75" style="mso-wrap-distance-left:0.0pt;mso-wrap-distance-top:0.0pt;mso-wrap-distance-right:0.0pt;mso-wrap-distance-bottom:0.0pt;width:474.0pt;height:78.8pt;" stroked="false">
                <v:path textboxrect="0,0,0,0"/>
                <v:imagedata r:id="rId154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62" w:name="_Ref19874798"/>
      <w:r/>
      <w:bookmarkStart w:id="1263" w:name="_Toc19881097"/>
      <w:r/>
      <w:bookmarkStart w:id="1264" w:name="_Toc20229636"/>
      <w:r/>
      <w:bookmarkStart w:id="1265" w:name="_Toc59804546"/>
      <w:r>
        <w:t xml:space="preserve">91</w:t>
      </w:r>
      <w:bookmarkEnd w:id="1262"/>
      <w:r>
        <w:fldChar w:fldCharType="end"/>
      </w:r>
      <w:r>
        <w:t xml:space="preserve">. Режим скроллера «Переданные полномочия»</w:t>
      </w:r>
      <w:bookmarkEnd w:id="1263"/>
      <w:r/>
      <w:bookmarkEnd w:id="1264"/>
      <w:r/>
      <w:bookmarkEnd w:id="1265"/>
      <w:r/>
      <w:r/>
    </w:p>
    <w:p>
      <w:pPr>
        <w:pStyle w:val="1147"/>
        <w:numPr>
          <w:ilvl w:val="0"/>
          <w:numId w:val="1"/>
        </w:numPr>
        <w:rPr>
          <w:rFonts w:eastAsia="Cambria"/>
        </w:rPr>
      </w:pPr>
      <w:r>
        <w:rPr>
          <w:rFonts w:eastAsia="Cambria"/>
        </w:rP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2410" cy="214532"/>
                <wp:effectExtent l="19050" t="0" r="0" b="0"/>
                <wp:docPr id="149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5"/>
                        <a:stretch/>
                      </pic:blipFill>
                      <pic:spPr bwMode="auto">
                        <a:xfrm>
                          <a:off x="0" y="0"/>
                          <a:ext cx="232410" cy="2145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8" o:spid="_x0000_s148" type="#_x0000_t75" style="mso-wrap-distance-left:0.0pt;mso-wrap-distance-top:0.0pt;mso-wrap-distance-right:0.0pt;mso-wrap-distance-bottom:0.0pt;width:18.3pt;height:16.9pt;" stroked="f" strokeweight="0.75pt">
                <v:path textboxrect="0,0,0,0"/>
                <v:imagedata r:id="rId155" o:title=""/>
              </v:shape>
            </w:pict>
          </mc:Fallback>
        </mc:AlternateContent>
      </w:r>
      <w:r>
        <w:t xml:space="preserve"> (Создать новый документ). Откроется визуальная форма экземпляра формуляра с возможностью ее редактирования.</w:t>
      </w:r>
      <w:r/>
    </w:p>
    <w:p>
      <w:pPr>
        <w:pStyle w:val="1147"/>
        <w:numPr>
          <w:ilvl w:val="0"/>
          <w:numId w:val="1"/>
        </w:numPr>
      </w:pPr>
      <w:r>
        <w:t xml:space="preserve">В разделе «Получатель бюджетных средств» в поле «Код по сводному реестру» по кнопке «Выбор организации, передавшей полномочия по „14“ л/с» выбрать организацию из справочника «Сводный реестр» и соответствующий 14 ЛС.</w:t>
      </w:r>
      <w:r/>
    </w:p>
    <w:p>
      <w:pPr>
        <w:pStyle w:val="1147"/>
        <w:numPr>
          <w:ilvl w:val="0"/>
          <w:numId w:val="0"/>
        </w:numPr>
        <w:ind w:left="1021"/>
      </w:pPr>
      <w:r>
        <w:t xml:space="preserve">Поля информации о ПБС заполнятся реквизитами организации, передавшей полномочия. </w:t>
      </w:r>
      <w:r/>
    </w:p>
    <w:p>
      <w:pPr>
        <w:pStyle w:val="987"/>
      </w:pPr>
      <w:r>
        <w:rPr>
          <w:rStyle w:val="992"/>
        </w:rPr>
        <w:t xml:space="preserve">Внимание!</w:t>
      </w:r>
      <w:r>
        <w:tab/>
        <w:t xml:space="preserve">Есл</w:t>
      </w:r>
      <w:r>
        <w:t xml:space="preserve">и 14 ЛС нет в справочнике «Сводный реестр», то выводится сообщение: «У организации &lt;код по СвР&gt; отсутствуют лицевые счета по переданным полномочиям (14 л/с)». Если 14 ЛС нет в справочнике «Лицевые счета», то сработает блокирующий контроль об отсутствие ЛС.</w:t>
      </w:r>
      <w:r/>
    </w:p>
    <w:p>
      <w:pPr>
        <w:pStyle w:val="1147"/>
        <w:numPr>
          <w:ilvl w:val="0"/>
          <w:numId w:val="1"/>
        </w:numPr>
        <w:rPr>
          <w:rFonts w:eastAsia="Cambria"/>
        </w:rPr>
      </w:pPr>
      <w:r>
        <w:t xml:space="preserve">Заполнить остальные реквизиты на визуальной форме экземпляра формуляра в соответствии с требованиями к документу, как в стандартном режиме. </w:t>
      </w:r>
      <w:r>
        <w:t xml:space="preserve">Нажать кнопку «</w:t>
      </w:r>
      <w:r>
        <w:t xml:space="preserve">Сохранить».</w:t>
      </w:r>
      <w:r/>
    </w:p>
    <w:p>
      <w:pPr>
        <w:pStyle w:val="1147"/>
        <w:numPr>
          <w:ilvl w:val="0"/>
          <w:numId w:val="1"/>
        </w:numPr>
        <w:rPr>
          <w:rFonts w:eastAsia="Cambria"/>
        </w:rPr>
      </w:pPr>
      <w:r>
        <w:t xml:space="preserve">Выполнить дальнейшую обработку СДО в режиме «Переданные полномочия».</w:t>
      </w:r>
      <w:r/>
    </w:p>
    <w:p>
      <w:pPr>
        <w:pStyle w:val="1147"/>
        <w:numPr>
          <w:ilvl w:val="0"/>
          <w:numId w:val="1"/>
        </w:numPr>
      </w:pPr>
      <w:r>
        <w:t xml:space="preserve">Для просмотра СДО, созданных организациями, принявшими полномочия получателей бюджетных средств по 14 ЛС, требуется открыть папку «Денежные обязательства – Сведения о денежных обязательствах – Все документы», </w:t>
      </w:r>
      <w:r>
        <w:rPr>
          <w:rFonts w:eastAsia="Cambria"/>
        </w:rPr>
        <w:t xml:space="preserve">на панели инструментов </w:t>
      </w:r>
      <w:r>
        <w:rPr>
          <w:rFonts w:eastAsia="Cambria"/>
        </w:rP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" cy="228600"/>
                <wp:effectExtent l="0" t="0" r="9525" b="0"/>
                <wp:docPr id="150" name="Рисунок 1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3"/>
                        <a:stretch/>
                      </pic:blipFill>
                      <pic:spPr bwMode="auto">
                        <a:xfrm>
                          <a:off x="0" y="0"/>
                          <a:ext cx="485775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9" o:spid="_x0000_s149" type="#_x0000_t75" style="mso-wrap-distance-left:0.0pt;mso-wrap-distance-top:0.0pt;mso-wrap-distance-right:0.0pt;mso-wrap-distance-bottom:0.0pt;width:38.2pt;height:18.0pt;" stroked="false">
                <v:path textboxrect="0,0,0,0"/>
                <v:imagedata r:id="rId153" o:title=""/>
              </v:shape>
            </w:pict>
          </mc:Fallback>
        </mc:AlternateContent>
      </w:r>
      <w:r>
        <w:rPr>
          <w:rFonts w:eastAsia="Cambria"/>
        </w:rPr>
        <w:t xml:space="preserve">и в выпадающем списке выбрать пункт «</w:t>
      </w:r>
      <w:r>
        <w:t xml:space="preserve">Сформированные организациями</w:t>
      </w:r>
      <w:r>
        <w:t xml:space="preserve">,</w:t>
      </w:r>
      <w:r>
        <w:t xml:space="preserve"> принявшими полномочия по 14 ЛС».</w:t>
      </w:r>
      <w:r/>
    </w:p>
    <w:p>
      <w:pPr>
        <w:pStyle w:val="963"/>
      </w:pPr>
      <w:r/>
      <w:bookmarkStart w:id="1266" w:name="_Toc20229521"/>
      <w:r/>
      <w:bookmarkStart w:id="1267" w:name="_Toc62446063"/>
      <w:r>
        <w:t xml:space="preserve">Работа с документами «Сведения о ДО» после их согласования в </w:t>
      </w:r>
      <w:bookmarkEnd w:id="1189"/>
      <w:r/>
      <w:bookmarkEnd w:id="1259"/>
      <w:r/>
      <w:bookmarkEnd w:id="1260"/>
      <w:r/>
      <w:bookmarkEnd w:id="1261"/>
      <w:r/>
      <w:bookmarkEnd w:id="1266"/>
      <w:r>
        <w:rPr>
          <w:rStyle w:val="1220"/>
        </w:rPr>
        <w:t xml:space="preserve">ТОФК</w:t>
      </w:r>
      <w:bookmarkEnd w:id="1267"/>
      <w:r/>
      <w:r/>
    </w:p>
    <w:p>
      <w:pPr>
        <w:pStyle w:val="985"/>
      </w:pPr>
      <w:r>
        <w:t xml:space="preserve">Документы, прошедшие этап согласован</w:t>
      </w:r>
      <w:r>
        <w:t xml:space="preserve">ия в </w:t>
      </w:r>
      <w:r>
        <w:rPr>
          <w:rStyle w:val="1220"/>
        </w:rPr>
        <w:t xml:space="preserve">ТОФК</w:t>
      </w:r>
      <w:r>
        <w:t xml:space="preserve">, отражаются у пользователя. Экземпляр формуляра «Сведения о ДО» может быть с</w:t>
      </w:r>
      <w:r>
        <w:t xml:space="preserve">огласован или не согласован в </w:t>
      </w:r>
      <w:r>
        <w:rPr>
          <w:rStyle w:val="1220"/>
        </w:rPr>
        <w:t xml:space="preserve">ОрФК</w:t>
      </w:r>
      <w:r>
        <w:t xml:space="preserve">.</w:t>
      </w:r>
      <w:r/>
    </w:p>
    <w:p>
      <w:pPr>
        <w:pStyle w:val="985"/>
      </w:pPr>
      <w:r>
        <w:t xml:space="preserve">Если документ согласован в </w:t>
      </w:r>
      <w:r>
        <w:rPr>
          <w:rStyle w:val="1220"/>
        </w:rPr>
        <w:t xml:space="preserve">ТОФК</w:t>
      </w:r>
      <w:r>
        <w:t xml:space="preserve"> и информация отражена на лицевом счете, то индикатор </w:t>
      </w:r>
      <w:r>
        <w:t xml:space="preserve">фонарных </w:t>
      </w:r>
      <w:r>
        <w:t xml:space="preserve">групп «ФК», «Включено в </w:t>
      </w:r>
      <w:r>
        <w:t xml:space="preserve">П</w:t>
      </w:r>
      <w:r>
        <w:t xml:space="preserve">ДО», «</w:t>
      </w:r>
      <w:r>
        <w:t xml:space="preserve">Отражение на ЛС в ЭБ</w:t>
      </w:r>
      <w:r>
        <w:t xml:space="preserve">» меняют цвета на зеленый. При этом </w:t>
      </w:r>
      <w:r>
        <w:rPr>
          <w:rStyle w:val="1220"/>
        </w:rPr>
        <w:t xml:space="preserve">ТОФК</w:t>
      </w:r>
      <w:r>
        <w:t xml:space="preserve"> направляет клиенту документ «Извещение о постановке на учет </w:t>
      </w:r>
      <w:r>
        <w:t xml:space="preserve">ДО</w:t>
      </w:r>
      <w:r>
        <w:t xml:space="preserve">», в котором содержатся сведения о дате постановки на учет денежного обязательства. </w:t>
      </w:r>
      <w:r>
        <w:t xml:space="preserve">Документ </w:t>
      </w:r>
      <w:r>
        <w:t xml:space="preserve">«Извещение о постановке на учет </w:t>
      </w:r>
      <w:r>
        <w:t xml:space="preserve">ДО</w:t>
      </w:r>
      <w:r>
        <w:t xml:space="preserve">» отражается в списковой форме </w:t>
      </w:r>
      <w:r>
        <w:t xml:space="preserve">«</w:t>
      </w:r>
      <w:r>
        <w:t xml:space="preserve">Извещения</w:t>
      </w:r>
      <w:r>
        <w:t xml:space="preserve"> ДО</w:t>
      </w:r>
      <w:r>
        <w:t xml:space="preserve">»</w:t>
      </w:r>
      <w:r>
        <w:t xml:space="preserve">.</w:t>
      </w:r>
      <w:r/>
    </w:p>
    <w:p>
      <w:pPr>
        <w:pStyle w:val="985"/>
      </w:pPr>
      <w:r>
        <w:t xml:space="preserve">В случае несогласования в </w:t>
      </w:r>
      <w:r>
        <w:rPr>
          <w:rStyle w:val="1220"/>
        </w:rPr>
        <w:t xml:space="preserve">Ор</w:t>
      </w:r>
      <w:r>
        <w:rPr>
          <w:rStyle w:val="1220"/>
        </w:rPr>
        <w:t xml:space="preserve">ФК</w:t>
      </w:r>
      <w:r>
        <w:t xml:space="preserve">, </w:t>
      </w:r>
      <w:r>
        <w:t xml:space="preserve">индикатор фонарных групп «ФК»</w:t>
      </w:r>
      <w:r>
        <w:t xml:space="preserve">, «Включено в </w:t>
      </w:r>
      <w:r>
        <w:t xml:space="preserve">П</w:t>
      </w:r>
      <w:r>
        <w:t xml:space="preserve">ДО», «</w:t>
      </w:r>
      <w:r>
        <w:t xml:space="preserve">Отражение на ЛС в ЭБ</w:t>
      </w:r>
      <w:r>
        <w:t xml:space="preserve">» меняют цвета на красный</w:t>
      </w:r>
      <w:r>
        <w:t xml:space="preserve"> и </w:t>
      </w:r>
      <w:r>
        <w:t xml:space="preserve">серый соответственно</w:t>
      </w:r>
      <w:r>
        <w:t xml:space="preserve"> </w:t>
      </w:r>
      <w:r>
        <w:t xml:space="preserve">(</w:t>
      </w:r>
      <w:r>
        <w:t xml:space="preserve">рис. </w:t>
      </w:r>
      <w:r>
        <w:fldChar w:fldCharType="begin"/>
      </w:r>
      <w:r>
        <w:instrText xml:space="preserve"> REF _Ref486936031 \h </w:instrText>
      </w:r>
      <w:r>
        <w:fldChar w:fldCharType="separate"/>
      </w:r>
      <w:r>
        <w:t xml:space="preserve">92</w:t>
      </w:r>
      <w:r>
        <w:fldChar w:fldCharType="end"/>
      </w:r>
      <w:r>
        <w:t xml:space="preserve">). При этом ФК направляет клиенту документ «Протокол», в котором указана причина отказа. </w:t>
      </w:r>
      <w:r>
        <w:t xml:space="preserve">Документ «Протокол» </w:t>
      </w:r>
      <w:r>
        <w:t xml:space="preserve">отражается в списковой форме </w:t>
      </w:r>
      <w:r>
        <w:t xml:space="preserve">«</w:t>
      </w:r>
      <w:r>
        <w:t xml:space="preserve">Протоколы</w:t>
      </w:r>
      <w:r>
        <w:t xml:space="preserve">»</w:t>
      </w:r>
      <w:r>
        <w:t xml:space="preserve">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72025" cy="1057275"/>
                <wp:effectExtent l="19050" t="0" r="9525" b="0"/>
                <wp:docPr id="151" name="Рисунок 26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6"/>
                        <a:srcRect l="22845" t="20003" r="26787" b="59993"/>
                        <a:stretch/>
                      </pic:blipFill>
                      <pic:spPr bwMode="auto">
                        <a:xfrm>
                          <a:off x="0" y="0"/>
                          <a:ext cx="477202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0" o:spid="_x0000_s150" type="#_x0000_t75" style="mso-wrap-distance-left:0.0pt;mso-wrap-distance-top:0.0pt;mso-wrap-distance-right:0.0pt;mso-wrap-distance-bottom:0.0pt;width:375.8pt;height:83.2pt;" stroked="f" strokeweight="0.75pt">
                <v:path textboxrect="0,0,0,0"/>
                <v:imagedata r:id="rId156" o:title=""/>
              </v:shape>
            </w:pict>
          </mc:Fallback>
        </mc:AlternateContent>
      </w:r>
      <w:r/>
    </w:p>
    <w:p>
      <w:pPr>
        <w:pStyle w:val="974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68" w:name="_Ref486936031"/>
      <w:r/>
      <w:bookmarkStart w:id="1269" w:name="_Toc20229637"/>
      <w:r/>
      <w:bookmarkStart w:id="1270" w:name="_Toc59804547"/>
      <w:r>
        <w:t xml:space="preserve">92</w:t>
      </w:r>
      <w:bookmarkEnd w:id="1268"/>
      <w:r>
        <w:fldChar w:fldCharType="end"/>
      </w:r>
      <w:r>
        <w:t xml:space="preserve">. Документ не согласован в ФК</w:t>
      </w:r>
      <w:bookmarkEnd w:id="1269"/>
      <w:r/>
      <w:bookmarkEnd w:id="1270"/>
      <w:r/>
      <w:r/>
    </w:p>
    <w:p>
      <w:pPr>
        <w:pStyle w:val="963"/>
      </w:pPr>
      <w:r/>
      <w:bookmarkStart w:id="1271" w:name="_Toc42682967"/>
      <w:r/>
      <w:bookmarkStart w:id="1272" w:name="_Ref46482774"/>
      <w:r/>
      <w:bookmarkStart w:id="1273" w:name="_Toc62446064"/>
      <w:r>
        <w:t xml:space="preserve">Просмотр записи в Перечне ДО</w:t>
      </w:r>
      <w:bookmarkEnd w:id="1271"/>
      <w:r/>
      <w:bookmarkEnd w:id="1272"/>
      <w:r/>
      <w:bookmarkEnd w:id="1273"/>
      <w:r/>
      <w:r/>
    </w:p>
    <w:p>
      <w:pPr>
        <w:pStyle w:val="964"/>
      </w:pPr>
      <w:r/>
      <w:bookmarkStart w:id="1274" w:name="_Toc470082699"/>
      <w:r/>
      <w:bookmarkStart w:id="1275" w:name="_Toc487019726"/>
      <w:r/>
      <w:bookmarkStart w:id="1276" w:name="_Toc487028523"/>
      <w:r/>
      <w:bookmarkStart w:id="1277" w:name="_Ref454558203"/>
      <w:r/>
      <w:bookmarkStart w:id="1278" w:name="_Toc454979496"/>
      <w:r>
        <w:t xml:space="preserve">Условия выполнения операции</w:t>
      </w:r>
      <w:bookmarkEnd w:id="1274"/>
      <w:r/>
      <w:bookmarkEnd w:id="1275"/>
      <w:r/>
      <w:bookmarkEnd w:id="1276"/>
      <w:r/>
      <w:r/>
    </w:p>
    <w:p>
      <w:pPr>
        <w:pStyle w:val="986"/>
      </w:pPr>
      <w:r>
        <w:t xml:space="preserve">Для выполнения операции необходимо соблюдение следующего условия:</w:t>
      </w:r>
      <w:r/>
    </w:p>
    <w:p>
      <w:pPr>
        <w:pStyle w:val="976"/>
      </w:pPr>
      <w:r>
        <w:t xml:space="preserve">в Подсистеме при постановке на учет документа «Сведения о ДО» формируется запись в Перечне ДО, автоматически создается формуляр «Денежное обязательство». Фонарные группы «ФК» и «Включен в Перечень ДО» горят зеленым цветом.</w:t>
      </w:r>
      <w:r/>
    </w:p>
    <w:p>
      <w:pPr>
        <w:pStyle w:val="964"/>
      </w:pPr>
      <w:r/>
      <w:bookmarkStart w:id="1279" w:name="_Toc470082700"/>
      <w:r/>
      <w:bookmarkStart w:id="1280" w:name="_Toc487019727"/>
      <w:r/>
      <w:bookmarkStart w:id="1281" w:name="_Toc487028524"/>
      <w:r>
        <w:t xml:space="preserve">Последовательность действий</w:t>
      </w:r>
      <w:bookmarkEnd w:id="1277"/>
      <w:r/>
      <w:bookmarkEnd w:id="1278"/>
      <w:r/>
      <w:bookmarkEnd w:id="1279"/>
      <w:r/>
      <w:bookmarkEnd w:id="1280"/>
      <w:r/>
      <w:bookmarkEnd w:id="1281"/>
      <w:r/>
      <w:r/>
    </w:p>
    <w:p>
      <w:pPr>
        <w:pStyle w:val="1147"/>
        <w:numPr>
          <w:ilvl w:val="0"/>
          <w:numId w:val="123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денежных обязательств</w:t>
      </w:r>
      <w:r>
        <w:t xml:space="preserve"> –</w:t>
      </w:r>
      <w:r>
        <w:t xml:space="preserve"> Д</w:t>
      </w:r>
      <w:r>
        <w:t xml:space="preserve">енежные обязательства – </w:t>
      </w:r>
      <w:r>
        <w:t xml:space="preserve">Перечень ДО» (рис. </w:t>
      </w:r>
      <w:r>
        <w:fldChar w:fldCharType="begin"/>
      </w:r>
      <w:r>
        <w:instrText xml:space="preserve"> REF _Ref487020813 \h  \* MERGEFORMAT </w:instrText>
      </w:r>
      <w:r>
        <w:fldChar w:fldCharType="separate"/>
      </w:r>
      <w:r>
        <w:t xml:space="preserve">93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636135"/>
                <wp:effectExtent l="0" t="0" r="0" b="0"/>
                <wp:docPr id="152" name="Рисунок 69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7"/>
                        <a:stretch/>
                      </pic:blipFill>
                      <pic:spPr bwMode="auto">
                        <a:xfrm>
                          <a:off x="0" y="0"/>
                          <a:ext cx="6120130" cy="4636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1" o:spid="_x0000_s151" type="#_x0000_t75" style="mso-wrap-distance-left:0.0pt;mso-wrap-distance-top:0.0pt;mso-wrap-distance-right:0.0pt;mso-wrap-distance-bottom:0.0pt;width:481.9pt;height:365.0pt;" stroked="false">
                <v:path textboxrect="0,0,0,0"/>
                <v:imagedata r:id="rId157" o:title=""/>
              </v:shape>
            </w:pict>
          </mc:Fallback>
        </mc:AlternateContent>
      </w:r>
      <w:r/>
    </w:p>
    <w:p>
      <w:pPr>
        <w:pStyle w:val="974"/>
      </w:pPr>
      <w:r/>
      <w:bookmarkStart w:id="1282" w:name="_Ref487020813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83" w:name="_Toc42683100"/>
      <w:r/>
      <w:bookmarkStart w:id="1284" w:name="_Toc59804548"/>
      <w:r>
        <w:t xml:space="preserve">93</w:t>
      </w:r>
      <w:r>
        <w:fldChar w:fldCharType="end"/>
      </w:r>
      <w:bookmarkEnd w:id="1282"/>
      <w:r>
        <w:t xml:space="preserve">. Пункт меню «</w:t>
      </w:r>
      <w:r>
        <w:t xml:space="preserve">Перечень ДО</w:t>
      </w:r>
      <w:r>
        <w:t xml:space="preserve">»</w:t>
      </w:r>
      <w:bookmarkEnd w:id="1283"/>
      <w:r/>
      <w:bookmarkEnd w:id="1284"/>
      <w:r/>
      <w:r/>
    </w:p>
    <w:p>
      <w:pPr>
        <w:pStyle w:val="1147"/>
        <w:numPr>
          <w:ilvl w:val="0"/>
          <w:numId w:val="17"/>
        </w:numPr>
      </w:pPr>
      <w:r>
        <w:t xml:space="preserve">Откроется списковая форма перечня ДО. Документу присвоен учетный номер ДО. Информации о ДО включена в перечень ДО (рис.</w:t>
      </w:r>
      <w:r>
        <w:rPr>
          <w:lang w:val="en-US"/>
        </w:rPr>
        <w:t xml:space="preserve"> </w:t>
      </w:r>
      <w:r>
        <w:fldChar w:fldCharType="begin"/>
      </w:r>
      <w:r>
        <w:instrText xml:space="preserve"> REF _Ref486936392 \h  \* MERGEFORMAT </w:instrText>
      </w:r>
      <w:r>
        <w:fldChar w:fldCharType="separate"/>
      </w:r>
      <w:r>
        <w:t xml:space="preserve">94</w:t>
      </w:r>
      <w:r>
        <w:fldChar w:fldCharType="end"/>
      </w:r>
      <w:r>
        <w:t xml:space="preserve">). Данная списковая форма позволяет просмотреть записи на всех статусах: «Актуален», «Архив», «Новый», «Удален», «Условно включен». 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1830070"/>
                <wp:effectExtent l="0" t="0" r="0" b="0"/>
                <wp:docPr id="153" name="Рисунок 23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Snap4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8"/>
                        <a:stretch/>
                      </pic:blipFill>
                      <pic:spPr bwMode="auto">
                        <a:xfrm>
                          <a:off x="0" y="0"/>
                          <a:ext cx="6120130" cy="183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2" o:spid="_x0000_s152" type="#_x0000_t75" style="mso-wrap-distance-left:0.0pt;mso-wrap-distance-top:0.0pt;mso-wrap-distance-right:0.0pt;mso-wrap-distance-bottom:0.0pt;width:481.9pt;height:144.1pt;" stroked="false">
                <v:path textboxrect="0,0,0,0"/>
                <v:imagedata r:id="rId158" o:title=""/>
              </v:shape>
            </w:pict>
          </mc:Fallback>
        </mc:AlternateContent>
      </w:r>
      <w:r/>
    </w:p>
    <w:p>
      <w:pPr>
        <w:pStyle w:val="974"/>
      </w:pPr>
      <w:r/>
      <w:bookmarkStart w:id="1285" w:name="_Ref486936392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86" w:name="_Toc42683101"/>
      <w:r/>
      <w:bookmarkStart w:id="1287" w:name="_Toc59804549"/>
      <w:r>
        <w:t xml:space="preserve">94</w:t>
      </w:r>
      <w:r>
        <w:fldChar w:fldCharType="end"/>
      </w:r>
      <w:bookmarkEnd w:id="1285"/>
      <w:r>
        <w:t xml:space="preserve">. </w:t>
      </w:r>
      <w:bookmarkEnd w:id="1286"/>
      <w:r>
        <w:t xml:space="preserve">Списковая форма записей Перечня ДО</w:t>
      </w:r>
      <w:bookmarkEnd w:id="1287"/>
      <w:r/>
      <w:r/>
    </w:p>
    <w:p>
      <w:pPr>
        <w:pStyle w:val="1147"/>
        <w:numPr>
          <w:ilvl w:val="0"/>
          <w:numId w:val="17"/>
        </w:numPr>
      </w:pPr>
      <w:r>
        <w:t xml:space="preserve">Для просмотра записей на статусе «Условно включенные ДО» требуется перейти в фильтр-папку «Условно включенные ДО» (см. рис. </w:t>
      </w:r>
      <w:r>
        <w:fldChar w:fldCharType="begin"/>
      </w:r>
      <w:r>
        <w:instrText xml:space="preserve"> REF _Ref487020813 \h  \* MERGEFORMAT </w:instrText>
      </w:r>
      <w:r>
        <w:fldChar w:fldCharType="separate"/>
      </w:r>
      <w:r>
        <w:t xml:space="preserve">93</w:t>
      </w:r>
      <w:r>
        <w:fldChar w:fldCharType="end"/>
      </w:r>
      <w:r>
        <w:t xml:space="preserve">).</w:t>
      </w:r>
      <w:r/>
    </w:p>
    <w:p>
      <w:pPr>
        <w:pStyle w:val="1147"/>
        <w:numPr>
          <w:ilvl w:val="0"/>
          <w:numId w:val="17"/>
        </w:numPr>
      </w:pPr>
      <w:r>
        <w:t xml:space="preserve">Для просмотра записей в Перечне ДО на статусе «Архив» требуется перейти в фильтр-папку «Архивные ДО» (см. рис. </w:t>
      </w:r>
      <w:r>
        <w:fldChar w:fldCharType="begin"/>
      </w:r>
      <w:r>
        <w:instrText xml:space="preserve"> REF _Ref487020813 \h  \* MERGEFORMAT </w:instrText>
      </w:r>
      <w:r>
        <w:fldChar w:fldCharType="separate"/>
      </w:r>
      <w:r>
        <w:t xml:space="preserve">93</w:t>
      </w:r>
      <w:r>
        <w:fldChar w:fldCharType="end"/>
      </w:r>
      <w:r>
        <w:t xml:space="preserve">).</w:t>
      </w:r>
      <w:r/>
    </w:p>
    <w:p>
      <w:pPr>
        <w:pStyle w:val="962"/>
      </w:pPr>
      <w:r/>
      <w:bookmarkStart w:id="1288" w:name="_Toc20229523"/>
      <w:r/>
      <w:bookmarkStart w:id="1289" w:name="_Toc62446065"/>
      <w:r>
        <w:t xml:space="preserve">Формуляр «Извещение о постановке на учет ДО»</w:t>
      </w:r>
      <w:bookmarkEnd w:id="1288"/>
      <w:r/>
      <w:bookmarkEnd w:id="1289"/>
      <w:r/>
      <w:r/>
    </w:p>
    <w:p>
      <w:pPr>
        <w:pStyle w:val="963"/>
        <w:ind w:left="1134" w:hanging="1134"/>
        <w:tabs>
          <w:tab w:val="num" w:pos="1134" w:leader="none"/>
        </w:tabs>
      </w:pPr>
      <w:r/>
      <w:bookmarkStart w:id="1290" w:name="_Toc470082701"/>
      <w:r/>
      <w:bookmarkStart w:id="1291" w:name="_Toc487019728"/>
      <w:r/>
      <w:bookmarkStart w:id="1292" w:name="_Toc487028525"/>
      <w:r/>
      <w:bookmarkStart w:id="1293" w:name="_Toc20229524"/>
      <w:r/>
      <w:bookmarkStart w:id="1294" w:name="_Toc62446066"/>
      <w:r/>
      <w:bookmarkStart w:id="1295" w:name="_Toc452115251"/>
      <w:r/>
      <w:bookmarkStart w:id="1296" w:name="_Toc454979500"/>
      <w:r>
        <w:t xml:space="preserve">Просмотр экземпляра формуляра «Извещение о постановке на учет ДО»</w:t>
      </w:r>
      <w:bookmarkEnd w:id="1290"/>
      <w:r/>
      <w:bookmarkEnd w:id="1291"/>
      <w:r/>
      <w:bookmarkEnd w:id="1292"/>
      <w:r/>
      <w:bookmarkEnd w:id="1293"/>
      <w:r/>
      <w:bookmarkEnd w:id="1294"/>
      <w:r>
        <w:t xml:space="preserve"> </w:t>
      </w:r>
      <w:bookmarkEnd w:id="1295"/>
      <w:r/>
      <w:bookmarkEnd w:id="1296"/>
      <w:r/>
      <w:r/>
    </w:p>
    <w:p>
      <w:pPr>
        <w:pStyle w:val="964"/>
        <w:ind w:left="1304" w:hanging="1304"/>
        <w:tabs>
          <w:tab w:val="num" w:pos="1304" w:leader="none"/>
        </w:tabs>
      </w:pPr>
      <w:r/>
      <w:bookmarkStart w:id="1297" w:name="_Toc454979501"/>
      <w:r/>
      <w:bookmarkStart w:id="1298" w:name="_Toc470082702"/>
      <w:r/>
      <w:bookmarkStart w:id="1299" w:name="_Toc487019729"/>
      <w:r/>
      <w:bookmarkStart w:id="1300" w:name="_Toc487028526"/>
      <w:r>
        <w:t xml:space="preserve">Условия выполнения операции</w:t>
      </w:r>
      <w:bookmarkEnd w:id="1297"/>
      <w:r/>
      <w:bookmarkEnd w:id="1298"/>
      <w:r/>
      <w:bookmarkEnd w:id="1299"/>
      <w:r/>
      <w:bookmarkEnd w:id="1300"/>
      <w:r/>
      <w:r/>
    </w:p>
    <w:p>
      <w:pPr>
        <w:pStyle w:val="986"/>
      </w:pPr>
      <w:r>
        <w:t xml:space="preserve">Для выполнения операции необходимо соблюдение следующего условия:</w:t>
      </w:r>
      <w:r/>
    </w:p>
    <w:p>
      <w:pPr>
        <w:pStyle w:val="976"/>
      </w:pPr>
      <w:r>
        <w:t xml:space="preserve">в Подсистеме, при формировании записи в перечне ДО с датой отражения на ЛС, автоматически создался и зарегистрирован пользователем ФК формуляр «Извещение о постановке на учет ДО». Фонарн</w:t>
      </w:r>
      <w:r>
        <w:t xml:space="preserve">ые</w:t>
      </w:r>
      <w:r>
        <w:t xml:space="preserve"> групп</w:t>
      </w:r>
      <w:r>
        <w:t xml:space="preserve">ы</w:t>
      </w:r>
      <w:r>
        <w:t xml:space="preserve"> «ФК», «Включен в Перечень ДО», «Отражение на ЛС» гор</w:t>
      </w:r>
      <w:r>
        <w:t xml:space="preserve">я</w:t>
      </w:r>
      <w:r>
        <w:t xml:space="preserve">т зеленым цветом.</w:t>
      </w:r>
      <w:r/>
    </w:p>
    <w:p>
      <w:pPr>
        <w:pStyle w:val="964"/>
        <w:ind w:left="1304" w:hanging="1304"/>
        <w:tabs>
          <w:tab w:val="num" w:pos="1304" w:leader="none"/>
        </w:tabs>
      </w:pPr>
      <w:r/>
      <w:bookmarkStart w:id="1301" w:name="_Ref454559181"/>
      <w:r/>
      <w:bookmarkStart w:id="1302" w:name="_Toc454979502"/>
      <w:r/>
      <w:bookmarkStart w:id="1303" w:name="_Toc470082703"/>
      <w:r/>
      <w:bookmarkStart w:id="1304" w:name="_Toc487019730"/>
      <w:r/>
      <w:bookmarkStart w:id="1305" w:name="_Toc487028527"/>
      <w:r>
        <w:t xml:space="preserve">Последовательность действий</w:t>
      </w:r>
      <w:bookmarkEnd w:id="1301"/>
      <w:r/>
      <w:bookmarkEnd w:id="1302"/>
      <w:r/>
      <w:bookmarkEnd w:id="1303"/>
      <w:r/>
      <w:bookmarkEnd w:id="1304"/>
      <w:r/>
      <w:bookmarkEnd w:id="1305"/>
      <w:r/>
      <w:r/>
    </w:p>
    <w:p>
      <w:pPr>
        <w:pStyle w:val="986"/>
      </w:pPr>
      <w:r>
        <w:t xml:space="preserve">Для просмотра экземпляра формуляра «Извещение ДО» необходимо выполнить следующие действия:</w:t>
      </w:r>
      <w:r/>
    </w:p>
    <w:p>
      <w:pPr>
        <w:pStyle w:val="1147"/>
        <w:numPr>
          <w:ilvl w:val="0"/>
          <w:numId w:val="11"/>
        </w:numPr>
      </w:pPr>
      <w:r>
        <w:t xml:space="preserve">Выбрать подсистему «Управление расходами», на вкладке «Формуляры» развернуть ветку </w:t>
      </w:r>
      <w:r>
        <w:t xml:space="preserve">«Все сервисы –</w:t>
      </w:r>
      <w:r>
        <w:t xml:space="preserve"> Управление расходами – </w:t>
      </w:r>
      <w:r>
        <w:t xml:space="preserve">Компонент ведения д</w:t>
      </w:r>
      <w:r>
        <w:t xml:space="preserve">енежны</w:t>
      </w:r>
      <w:r>
        <w:t xml:space="preserve">х</w:t>
      </w:r>
      <w:r>
        <w:t xml:space="preserve"> обязательств – </w:t>
      </w:r>
      <w:r>
        <w:t xml:space="preserve">Извещение ДО» (</w:t>
      </w:r>
      <w:r>
        <w:t xml:space="preserve">рис. </w:t>
      </w:r>
      <w:r>
        <w:fldChar w:fldCharType="begin"/>
      </w:r>
      <w:r>
        <w:instrText xml:space="preserve"> REF _Ref486936434 \h </w:instrText>
      </w:r>
      <w:r>
        <w:fldChar w:fldCharType="separate"/>
      </w:r>
      <w:r>
        <w:t xml:space="preserve">95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717415"/>
                <wp:effectExtent l="0" t="0" r="0" b="0"/>
                <wp:docPr id="154" name="Рисунок 69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9"/>
                        <a:stretch/>
                      </pic:blipFill>
                      <pic:spPr bwMode="auto">
                        <a:xfrm>
                          <a:off x="0" y="0"/>
                          <a:ext cx="6120130" cy="4717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3" o:spid="_x0000_s153" type="#_x0000_t75" style="mso-wrap-distance-left:0.0pt;mso-wrap-distance-top:0.0pt;mso-wrap-distance-right:0.0pt;mso-wrap-distance-bottom:0.0pt;width:481.9pt;height:371.4pt;" stroked="false">
                <v:path textboxrect="0,0,0,0"/>
                <v:imagedata r:id="rId159" o:title=""/>
              </v:shape>
            </w:pict>
          </mc:Fallback>
        </mc:AlternateContent>
      </w:r>
      <w:r/>
    </w:p>
    <w:p>
      <w:pPr>
        <w:pStyle w:val="974"/>
      </w:pPr>
      <w:r/>
      <w:bookmarkStart w:id="1306" w:name="_Ref486936434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07" w:name="_Toc20229640"/>
      <w:r/>
      <w:bookmarkStart w:id="1308" w:name="_Toc59804550"/>
      <w:r>
        <w:t xml:space="preserve">95</w:t>
      </w:r>
      <w:r>
        <w:fldChar w:fldCharType="end"/>
      </w:r>
      <w:bookmarkEnd w:id="1306"/>
      <w:r>
        <w:t xml:space="preserve">. Пункт меню «Извещение»</w:t>
      </w:r>
      <w:bookmarkEnd w:id="1307"/>
      <w:r/>
      <w:bookmarkEnd w:id="1308"/>
      <w:r/>
      <w:r/>
    </w:p>
    <w:p>
      <w:pPr>
        <w:pStyle w:val="1147"/>
        <w:numPr>
          <w:ilvl w:val="0"/>
          <w:numId w:val="1"/>
        </w:numPr>
      </w:pPr>
      <w:r>
        <w:t xml:space="preserve">На списковой форме присутствует новый экземпляр формуляра «Извещение ДО». Выбрать строку с нужным экземпляром формуляра «Извещение ДО» (</w:t>
      </w:r>
      <w:r>
        <w:t xml:space="preserve">рис. </w:t>
      </w:r>
      <w:r>
        <w:fldChar w:fldCharType="begin"/>
      </w:r>
      <w:r>
        <w:instrText xml:space="preserve"> REF _Ref486936465 \h </w:instrText>
      </w:r>
      <w:r>
        <w:fldChar w:fldCharType="separate"/>
      </w:r>
      <w:r>
        <w:t xml:space="preserve">96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91200" cy="2057400"/>
                <wp:effectExtent l="19050" t="0" r="0" b="0"/>
                <wp:docPr id="155" name="Рисунок 14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4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0"/>
                        <a:stretch/>
                      </pic:blipFill>
                      <pic:spPr bwMode="auto">
                        <a:xfrm>
                          <a:off x="0" y="0"/>
                          <a:ext cx="5791200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4" o:spid="_x0000_s154" type="#_x0000_t75" style="mso-wrap-distance-left:0.0pt;mso-wrap-distance-top:0.0pt;mso-wrap-distance-right:0.0pt;mso-wrap-distance-bottom:0.0pt;width:456.0pt;height:162.0pt;" stroked="f" strokeweight="0.75pt">
                <v:path textboxrect="0,0,0,0"/>
                <v:imagedata r:id="rId160" o:title=""/>
              </v:shape>
            </w:pict>
          </mc:Fallback>
        </mc:AlternateContent>
      </w:r>
      <w:r/>
    </w:p>
    <w:p>
      <w:pPr>
        <w:pStyle w:val="974"/>
      </w:pPr>
      <w:r/>
      <w:bookmarkStart w:id="1309" w:name="_Ref486936465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10" w:name="_Toc20229641"/>
      <w:r/>
      <w:bookmarkStart w:id="1311" w:name="_Toc59804551"/>
      <w:r>
        <w:t xml:space="preserve">96</w:t>
      </w:r>
      <w:r>
        <w:fldChar w:fldCharType="end"/>
      </w:r>
      <w:bookmarkEnd w:id="1309"/>
      <w:r>
        <w:t xml:space="preserve">. Списковая форма «Извещение ДО»</w:t>
      </w:r>
      <w:bookmarkEnd w:id="1310"/>
      <w:r/>
      <w:bookmarkEnd w:id="1311"/>
      <w:r/>
      <w:r/>
    </w:p>
    <w:p>
      <w:pPr>
        <w:pStyle w:val="985"/>
      </w:pPr>
      <w:r>
        <w:t xml:space="preserve">Присвоенные номера записи ДО отражены в формуляре «Извещение о постановке на учет ДО».</w:t>
      </w:r>
      <w:r/>
    </w:p>
    <w:p>
      <w:pPr>
        <w:pStyle w:val="962"/>
        <w:rPr>
          <w:lang w:val="en-US" w:eastAsia="zh-CN"/>
        </w:rPr>
      </w:pPr>
      <w:r/>
      <w:bookmarkStart w:id="1312" w:name="_Toc487026061"/>
      <w:r/>
      <w:bookmarkStart w:id="1313" w:name="_Toc487028701"/>
      <w:r/>
      <w:bookmarkStart w:id="1314" w:name="_Toc503778928"/>
      <w:r/>
      <w:bookmarkStart w:id="1315" w:name="_Toc20229525"/>
      <w:r/>
      <w:bookmarkStart w:id="1316" w:name="_Toc62446067"/>
      <w:r>
        <w:rPr>
          <w:lang w:eastAsia="zh-CN"/>
        </w:rPr>
        <w:t xml:space="preserve">Работа с</w:t>
      </w:r>
      <w:r>
        <w:rPr>
          <w:lang w:eastAsia="zh-CN"/>
        </w:rPr>
        <w:t xml:space="preserve"> формуляр</w:t>
      </w:r>
      <w:r>
        <w:rPr>
          <w:lang w:eastAsia="zh-CN"/>
        </w:rPr>
        <w:t xml:space="preserve">ом</w:t>
      </w:r>
      <w:r>
        <w:rPr>
          <w:lang w:eastAsia="zh-CN"/>
        </w:rPr>
        <w:t xml:space="preserve"> «Протокол»</w:t>
      </w:r>
      <w:bookmarkEnd w:id="1312"/>
      <w:r/>
      <w:bookmarkEnd w:id="1313"/>
      <w:r/>
      <w:bookmarkEnd w:id="1314"/>
      <w:r/>
      <w:bookmarkEnd w:id="1315"/>
      <w:r/>
      <w:bookmarkEnd w:id="1316"/>
      <w:r/>
      <w:r/>
    </w:p>
    <w:p>
      <w:pPr>
        <w:pStyle w:val="963"/>
        <w:rPr>
          <w:lang w:eastAsia="zh-CN"/>
        </w:rPr>
      </w:pPr>
      <w:r/>
      <w:bookmarkStart w:id="1317" w:name="_Toc470082705"/>
      <w:r/>
      <w:bookmarkStart w:id="1318" w:name="_Toc487019732"/>
      <w:r/>
      <w:bookmarkStart w:id="1319" w:name="_Toc487028529"/>
      <w:r/>
      <w:bookmarkStart w:id="1320" w:name="_Toc20229526"/>
      <w:r/>
      <w:bookmarkStart w:id="1321" w:name="_Toc62446068"/>
      <w:r>
        <w:rPr>
          <w:lang w:eastAsia="zh-CN"/>
        </w:rPr>
        <w:t xml:space="preserve">Просмотр экземпляра формуляра «Протокол»</w:t>
      </w:r>
      <w:bookmarkEnd w:id="1317"/>
      <w:r/>
      <w:bookmarkEnd w:id="1318"/>
      <w:r/>
      <w:bookmarkEnd w:id="1319"/>
      <w:r/>
      <w:bookmarkEnd w:id="1320"/>
      <w:r/>
      <w:bookmarkEnd w:id="1321"/>
      <w:r>
        <w:rPr>
          <w:lang w:eastAsia="zh-CN"/>
        </w:rPr>
        <w:t xml:space="preserve"> </w:t>
      </w:r>
      <w:r/>
    </w:p>
    <w:p>
      <w:pPr>
        <w:pStyle w:val="964"/>
        <w:rPr>
          <w:lang w:eastAsia="zh-CN"/>
        </w:rPr>
      </w:pPr>
      <w:r/>
      <w:bookmarkStart w:id="1322" w:name="_Toc454979504"/>
      <w:r/>
      <w:bookmarkStart w:id="1323" w:name="_Toc470082706"/>
      <w:r/>
      <w:bookmarkStart w:id="1324" w:name="_Toc487019733"/>
      <w:r/>
      <w:bookmarkStart w:id="1325" w:name="_Toc487028530"/>
      <w:r>
        <w:rPr>
          <w:lang w:eastAsia="zh-CN"/>
        </w:rPr>
        <w:t xml:space="preserve">Условия выполнения операции</w:t>
      </w:r>
      <w:bookmarkEnd w:id="1322"/>
      <w:r/>
      <w:bookmarkEnd w:id="1323"/>
      <w:r/>
      <w:bookmarkEnd w:id="1324"/>
      <w:r/>
      <w:bookmarkEnd w:id="1325"/>
      <w:r/>
      <w:r/>
    </w:p>
    <w:p>
      <w:pPr>
        <w:pStyle w:val="986"/>
        <w:rPr>
          <w:lang w:eastAsia="zh-CN"/>
        </w:rPr>
      </w:pPr>
      <w:r>
        <w:rPr>
          <w:lang w:eastAsia="zh-CN"/>
        </w:rPr>
        <w:t xml:space="preserve">Для выполнения операции необходимо соблюдение следующих условий:</w:t>
      </w:r>
      <w:r/>
    </w:p>
    <w:p>
      <w:pPr>
        <w:pStyle w:val="976"/>
        <w:rPr>
          <w:lang w:eastAsia="zh-CN"/>
        </w:rPr>
      </w:pPr>
      <w:r>
        <w:rPr>
          <w:lang w:eastAsia="zh-CN"/>
        </w:rPr>
        <w:t xml:space="preserve">Ранее направленны</w:t>
      </w:r>
      <w:r>
        <w:rPr>
          <w:lang w:eastAsia="zh-CN"/>
        </w:rPr>
        <w:t xml:space="preserve">е</w:t>
      </w:r>
      <w:r>
        <w:rPr>
          <w:lang w:eastAsia="zh-CN"/>
        </w:rPr>
        <w:t xml:space="preserve"> на согласование в ФК экземпляры формуляра «Сведения о ДО» отказаны. Фонарная группа «ФК» горит красным цветом или все индикаторы имеют красный цвет. Создался и зарегистрирован пользователем ФК формуляр «Протокол».</w:t>
      </w:r>
      <w:r/>
    </w:p>
    <w:p>
      <w:pPr>
        <w:pStyle w:val="964"/>
        <w:rPr>
          <w:lang w:eastAsia="zh-CN"/>
        </w:rPr>
      </w:pPr>
      <w:r/>
      <w:bookmarkStart w:id="1326" w:name="_Toc454979505"/>
      <w:r/>
      <w:bookmarkStart w:id="1327" w:name="_Toc470082707"/>
      <w:r/>
      <w:bookmarkStart w:id="1328" w:name="_Toc487019734"/>
      <w:r/>
      <w:bookmarkStart w:id="1329" w:name="_Toc487028531"/>
      <w:r>
        <w:rPr>
          <w:lang w:eastAsia="zh-CN"/>
        </w:rPr>
        <w:t xml:space="preserve">Последовательность действий</w:t>
      </w:r>
      <w:bookmarkEnd w:id="1326"/>
      <w:r/>
      <w:bookmarkEnd w:id="1327"/>
      <w:r/>
      <w:bookmarkEnd w:id="1328"/>
      <w:r/>
      <w:bookmarkEnd w:id="1329"/>
      <w:r/>
      <w:r/>
    </w:p>
    <w:p>
      <w:pPr>
        <w:pStyle w:val="1147"/>
        <w:numPr>
          <w:ilvl w:val="0"/>
          <w:numId w:val="15"/>
        </w:numPr>
        <w:rPr>
          <w:lang w:eastAsia="zh-CN"/>
        </w:r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«Все сервисы –</w:t>
      </w:r>
      <w:r>
        <w:rPr>
          <w:lang w:eastAsia="zh-CN"/>
        </w:rPr>
        <w:t xml:space="preserve"> </w:t>
      </w:r>
      <w:r>
        <w:t xml:space="preserve">Управление расходами – Протокол – Все протоколы</w:t>
      </w:r>
      <w:r>
        <w:rPr>
          <w:lang w:eastAsia="zh-CN"/>
        </w:rPr>
        <w:t xml:space="preserve">» (</w:t>
      </w:r>
      <w:r>
        <w:rPr>
          <w:lang w:eastAsia="zh-CN"/>
        </w:rPr>
        <w:t xml:space="preserve">рис. </w:t>
      </w:r>
      <w:r>
        <w:rPr>
          <w:lang w:eastAsia="zh-CN"/>
        </w:rPr>
        <w:fldChar w:fldCharType="begin"/>
      </w:r>
      <w:r>
        <w:rPr>
          <w:lang w:eastAsia="zh-CN"/>
        </w:rPr>
        <w:instrText xml:space="preserve"> REF _Ref486936614 \h </w:instrText>
      </w:r>
      <w:r>
        <w:rPr>
          <w:lang w:eastAsia="zh-CN"/>
        </w:rPr>
        <w:fldChar w:fldCharType="separate"/>
      </w:r>
      <w:r>
        <w:rPr>
          <w:lang w:eastAsia="zh-CN"/>
        </w:rPr>
        <w:t xml:space="preserve">97</w:t>
      </w:r>
      <w:r>
        <w:rPr>
          <w:lang w:eastAsia="zh-CN"/>
        </w:rPr>
        <w:fldChar w:fldCharType="end"/>
      </w:r>
      <w:r>
        <w:rPr>
          <w:lang w:eastAsia="zh-CN"/>
        </w:rPr>
        <w:t xml:space="preserve">).</w:t>
      </w:r>
      <w:r/>
    </w:p>
    <w:p>
      <w:pPr>
        <w:pStyle w:val="973"/>
        <w:rPr>
          <w:lang w:eastAsia="zh-C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902200"/>
                <wp:effectExtent l="0" t="0" r="0" b="0"/>
                <wp:docPr id="156" name="Рисунок 69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1"/>
                        <a:stretch/>
                      </pic:blipFill>
                      <pic:spPr bwMode="auto">
                        <a:xfrm>
                          <a:off x="0" y="0"/>
                          <a:ext cx="6120130" cy="4902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5" o:spid="_x0000_s155" type="#_x0000_t75" style="mso-wrap-distance-left:0.0pt;mso-wrap-distance-top:0.0pt;mso-wrap-distance-right:0.0pt;mso-wrap-distance-bottom:0.0pt;width:481.9pt;height:386.0pt;" stroked="false">
                <v:path textboxrect="0,0,0,0"/>
                <v:imagedata r:id="rId161" o:title=""/>
              </v:shape>
            </w:pict>
          </mc:Fallback>
        </mc:AlternateContent>
      </w:r>
      <w:r/>
    </w:p>
    <w:p>
      <w:pPr>
        <w:pStyle w:val="974"/>
        <w:rPr>
          <w:lang w:eastAsia="zh-CN"/>
        </w:rPr>
      </w:pPr>
      <w:r/>
      <w:bookmarkStart w:id="1330" w:name="_Ref486936614"/>
      <w:r>
        <w:rPr>
          <w:lang w:eastAsia="zh-CN"/>
        </w:rPr>
        <w:fldChar w:fldCharType="begin"/>
      </w:r>
      <w:r>
        <w:rPr>
          <w:lang w:eastAsia="zh-CN"/>
        </w:rPr>
        <w:instrText xml:space="preserve"> SEQ Рисунок \* ARABIC </w:instrText>
      </w:r>
      <w:r>
        <w:rPr>
          <w:lang w:eastAsia="zh-CN"/>
        </w:rPr>
        <w:fldChar w:fldCharType="separate"/>
      </w:r>
      <w:bookmarkStart w:id="1331" w:name="_Toc20229642"/>
      <w:r/>
      <w:bookmarkStart w:id="1332" w:name="_Toc59804552"/>
      <w:r>
        <w:rPr>
          <w:lang w:eastAsia="zh-CN"/>
        </w:rPr>
        <w:t xml:space="preserve">97</w:t>
      </w:r>
      <w:r>
        <w:rPr>
          <w:lang w:eastAsia="zh-CN"/>
        </w:rPr>
        <w:fldChar w:fldCharType="end"/>
      </w:r>
      <w:bookmarkEnd w:id="1330"/>
      <w:r>
        <w:rPr>
          <w:lang w:eastAsia="zh-CN"/>
        </w:rPr>
        <w:t xml:space="preserve">. Пункт меню «Протокол»</w:t>
      </w:r>
      <w:bookmarkEnd w:id="1331"/>
      <w:r/>
      <w:bookmarkEnd w:id="1332"/>
      <w:r/>
      <w:r/>
    </w:p>
    <w:p>
      <w:pPr>
        <w:pStyle w:val="1147"/>
        <w:rPr>
          <w:lang w:eastAsia="zh-CN"/>
        </w:rPr>
      </w:pPr>
      <w:r>
        <w:rPr>
          <w:lang w:eastAsia="zh-CN"/>
        </w:rPr>
        <w:t xml:space="preserve">На списковой форме присутствует новый</w:t>
      </w:r>
      <w:r>
        <w:rPr>
          <w:lang w:eastAsia="zh-CN"/>
        </w:rPr>
        <w:t xml:space="preserve"> экземпляр формуляра «Протокол»</w:t>
      </w:r>
      <w:r>
        <w:rPr>
          <w:lang w:eastAsia="zh-CN"/>
        </w:rPr>
        <w:t xml:space="preserve">, в которо</w:t>
      </w:r>
      <w:r>
        <w:rPr>
          <w:lang w:eastAsia="zh-CN"/>
        </w:rPr>
        <w:t xml:space="preserve">м</w:t>
      </w:r>
      <w:r>
        <w:rPr>
          <w:lang w:eastAsia="zh-CN"/>
        </w:rPr>
        <w:t xml:space="preserve"> содержится причина отказа документа «Сведени</w:t>
      </w:r>
      <w:r>
        <w:rPr>
          <w:lang w:eastAsia="zh-CN"/>
        </w:rPr>
        <w:t xml:space="preserve">я</w:t>
      </w:r>
      <w:r>
        <w:rPr>
          <w:lang w:eastAsia="zh-CN"/>
        </w:rPr>
        <w:t xml:space="preserve"> о ДО».</w:t>
      </w:r>
      <w:r/>
    </w:p>
    <w:p>
      <w:pPr>
        <w:pStyle w:val="962"/>
        <w:rPr>
          <w:lang w:eastAsia="zh-CN"/>
        </w:rPr>
      </w:pPr>
      <w:r/>
      <w:bookmarkStart w:id="1333" w:name="_Toc20229527"/>
      <w:r/>
      <w:bookmarkStart w:id="1334" w:name="_Toc62446069"/>
      <w:r>
        <w:rPr>
          <w:lang w:eastAsia="zh-CN"/>
        </w:rPr>
        <w:t xml:space="preserve">Работа с формуляром «Универсальный передаточный документ»</w:t>
      </w:r>
      <w:bookmarkEnd w:id="1333"/>
      <w:r/>
      <w:bookmarkEnd w:id="1334"/>
      <w:r/>
      <w:r/>
    </w:p>
    <w:p>
      <w:pPr>
        <w:pStyle w:val="963"/>
        <w:rPr>
          <w:lang w:eastAsia="zh-CN"/>
        </w:rPr>
      </w:pPr>
      <w:r/>
      <w:bookmarkStart w:id="1335" w:name="_Ref528073836"/>
      <w:r/>
      <w:bookmarkStart w:id="1336" w:name="_Toc20229528"/>
      <w:r/>
      <w:bookmarkStart w:id="1337" w:name="_Toc62446070"/>
      <w:r>
        <w:rPr>
          <w:lang w:eastAsia="zh-CN"/>
        </w:rPr>
        <w:t xml:space="preserve">Импорт</w:t>
      </w:r>
      <w:r>
        <w:rPr>
          <w:lang w:eastAsia="zh-CN"/>
        </w:rPr>
        <w:t xml:space="preserve"> УПД в ПУР</w:t>
      </w:r>
      <w:bookmarkEnd w:id="1335"/>
      <w:r/>
      <w:bookmarkEnd w:id="1336"/>
      <w:r/>
      <w:bookmarkEnd w:id="1337"/>
      <w:r/>
      <w:r/>
    </w:p>
    <w:p>
      <w:pPr>
        <w:pStyle w:val="964"/>
        <w:rPr>
          <w:lang w:eastAsia="zh-CN"/>
        </w:rPr>
      </w:pPr>
      <w:r>
        <w:rPr>
          <w:lang w:eastAsia="zh-CN"/>
        </w:rPr>
        <w:t xml:space="preserve">Условия выполнения операции</w:t>
      </w:r>
      <w:r/>
    </w:p>
    <w:p>
      <w:pPr>
        <w:pStyle w:val="986"/>
        <w:rPr>
          <w:lang w:eastAsia="zh-CN"/>
        </w:rPr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  <w:rPr>
          <w:lang w:eastAsia="zh-CN"/>
        </w:rPr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  <w:rPr>
          <w:lang w:eastAsia="zh-CN"/>
        </w:rPr>
      </w:pPr>
      <w:r>
        <w:rPr>
          <w:lang w:eastAsia="zh-CN"/>
        </w:rPr>
        <w:t xml:space="preserve">и</w:t>
      </w:r>
      <w:r>
        <w:rPr>
          <w:lang w:eastAsia="zh-CN"/>
        </w:rPr>
        <w:t xml:space="preserve">меется архив с файлами УПД в формате XML и файлами электронной подписи.</w:t>
      </w:r>
      <w:r/>
    </w:p>
    <w:p>
      <w:pPr>
        <w:pStyle w:val="964"/>
        <w:rPr>
          <w:lang w:eastAsia="zh-CN"/>
        </w:rPr>
      </w:pPr>
      <w:r>
        <w:rPr>
          <w:lang w:eastAsia="zh-CN"/>
        </w:rPr>
        <w:t xml:space="preserve">Последовательность действий</w:t>
      </w:r>
      <w:r/>
    </w:p>
    <w:p>
      <w:pPr>
        <w:pStyle w:val="1147"/>
        <w:numPr>
          <w:ilvl w:val="0"/>
          <w:numId w:val="20"/>
        </w:numPr>
        <w:rPr>
          <w:lang w:eastAsia="zh-CN"/>
        </w:r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«Все сервисы –</w:t>
      </w:r>
      <w:r>
        <w:rPr>
          <w:lang w:eastAsia="zh-CN"/>
        </w:rPr>
        <w:t xml:space="preserve"> </w:t>
      </w:r>
      <w:r>
        <w:t xml:space="preserve">Управление расходами – </w:t>
      </w:r>
      <w:r>
        <w:t xml:space="preserve">Компонент ведения денежных обязательств – </w:t>
      </w:r>
      <w:r>
        <w:t xml:space="preserve">Универсальный передаточный документ – </w:t>
      </w:r>
      <w:r>
        <w:t xml:space="preserve">Универсальный передаточный документ – </w:t>
      </w:r>
      <w:r>
        <w:t xml:space="preserve">Все документы (Клиент)» (рис. </w:t>
      </w:r>
      <w:r>
        <w:fldChar w:fldCharType="begin"/>
      </w:r>
      <w:r>
        <w:instrText xml:space="preserve"> REF _Ref46944229 \h </w:instrText>
      </w:r>
      <w:r>
        <w:fldChar w:fldCharType="separate"/>
      </w:r>
      <w:r>
        <w:t xml:space="preserve">98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957445"/>
                <wp:effectExtent l="0" t="0" r="0" b="0"/>
                <wp:docPr id="157" name="Рисунок 69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2"/>
                        <a:stretch/>
                      </pic:blipFill>
                      <pic:spPr bwMode="auto">
                        <a:xfrm>
                          <a:off x="0" y="0"/>
                          <a:ext cx="6120130" cy="4957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6" o:spid="_x0000_s156" type="#_x0000_t75" style="mso-wrap-distance-left:0.0pt;mso-wrap-distance-top:0.0pt;mso-wrap-distance-right:0.0pt;mso-wrap-distance-bottom:0.0pt;width:481.9pt;height:390.3pt;" stroked="false">
                <v:path textboxrect="0,0,0,0"/>
                <v:imagedata r:id="rId162" o:title=""/>
              </v:shape>
            </w:pict>
          </mc:Fallback>
        </mc:AlternateContent>
      </w:r>
      <w:r/>
    </w:p>
    <w:p>
      <w:pPr>
        <w:pStyle w:val="974"/>
        <w:numPr>
          <w:ilvl w:val="0"/>
          <w:numId w:val="128"/>
        </w:numPr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38" w:name="_Ref46944229"/>
      <w:r/>
      <w:bookmarkStart w:id="1339" w:name="_Toc46944207"/>
      <w:r/>
      <w:bookmarkStart w:id="1340" w:name="_Toc59804553"/>
      <w:r>
        <w:t xml:space="preserve">98</w:t>
      </w:r>
      <w:bookmarkEnd w:id="1338"/>
      <w:r>
        <w:fldChar w:fldCharType="end"/>
      </w:r>
      <w:r>
        <w:t xml:space="preserve">. Пункт меню «Универсальный передаточный документ»</w:t>
      </w:r>
      <w:bookmarkEnd w:id="1339"/>
      <w:r/>
      <w:bookmarkEnd w:id="1340"/>
      <w:r/>
      <w:r/>
    </w:p>
    <w:p>
      <w:pPr>
        <w:pStyle w:val="1147"/>
        <w:rPr>
          <w:lang w:eastAsia="zh-CN"/>
        </w:rPr>
      </w:pPr>
      <w:r>
        <w:rPr>
          <w:lang w:eastAsia="zh-CN"/>
        </w:rPr>
        <w:t xml:space="preserve">На панели инструментов </w:t>
      </w:r>
      <w:r>
        <w:rPr>
          <w:lang w:eastAsia="zh-CN"/>
        </w:rPr>
        <w:t xml:space="preserve">нажать кнопку</w:t>
      </w:r>
      <w:r>
        <w:rPr>
          <w:lang w:eastAsia="zh-CN"/>
        </w:rP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4980" cy="260985"/>
                <wp:effectExtent l="19050" t="0" r="1270" b="0"/>
                <wp:docPr id="158" name="Рисунок 1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3"/>
                        <a:stretch/>
                      </pic:blipFill>
                      <pic:spPr bwMode="auto">
                        <a:xfrm>
                          <a:off x="0" y="0"/>
                          <a:ext cx="474980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7" o:spid="_x0000_s157" type="#_x0000_t75" style="mso-wrap-distance-left:0.0pt;mso-wrap-distance-top:0.0pt;mso-wrap-distance-right:0.0pt;mso-wrap-distance-bottom:0.0pt;width:37.4pt;height:20.6pt;" stroked="f" strokeweight="0.75pt">
                <v:path textboxrect="0,0,0,0"/>
                <v:imagedata r:id="rId163" o:title=""/>
              </v:shape>
            </w:pict>
          </mc:Fallback>
        </mc:AlternateContent>
      </w:r>
      <w:r>
        <w:rPr>
          <w:lang w:eastAsia="zh-CN"/>
        </w:rPr>
        <w:t xml:space="preserve"> (</w:t>
      </w:r>
      <w:r>
        <w:rPr>
          <w:lang w:eastAsia="zh-CN"/>
        </w:rPr>
        <w:t xml:space="preserve">Импорт</w:t>
      </w:r>
      <w:r>
        <w:rPr>
          <w:lang w:eastAsia="zh-CN"/>
        </w:rPr>
        <w:t xml:space="preserve">)</w:t>
      </w:r>
      <w:r>
        <w:rPr>
          <w:lang w:eastAsia="zh-CN"/>
        </w:rPr>
        <w:t xml:space="preserve">, далее – «Загрузить», указать путь к файлу</w:t>
      </w:r>
      <w:r>
        <w:rPr>
          <w:lang w:eastAsia="zh-CN"/>
        </w:rPr>
        <w:t xml:space="preserve">, </w:t>
      </w:r>
      <w:r>
        <w:rPr>
          <w:lang w:eastAsia="zh-CN"/>
        </w:rPr>
        <w:t xml:space="preserve">нажать кнопку «</w:t>
      </w:r>
      <w:r>
        <w:rPr>
          <w:lang w:eastAsia="zh-CN"/>
        </w:rPr>
        <w:t xml:space="preserve">Сохранить».</w:t>
      </w:r>
      <w:r/>
    </w:p>
    <w:p>
      <w:pPr>
        <w:pStyle w:val="982"/>
      </w:pPr>
      <w:r>
        <w:t xml:space="preserve">При импор</w:t>
      </w:r>
      <w:r>
        <w:t xml:space="preserve">те осуществляется </w:t>
      </w:r>
      <w:r>
        <w:rPr>
          <w:rStyle w:val="1220"/>
        </w:rPr>
        <w:t xml:space="preserve">валидация</w:t>
      </w:r>
      <w:r>
        <w:t xml:space="preserve"> XML-</w:t>
      </w:r>
      <w:r>
        <w:t xml:space="preserve">файлов УПД и проверка целостности внешней </w:t>
      </w:r>
      <w:r>
        <w:t xml:space="preserve">подписи ПБС. В случае отрицательной проверки выводится диалоговое окно с ошибкой, формуляр УПД не формируется в ПУР ЭБ. В случае положительной проверки документ импортируется в ЛК ПБС ПУР ЭБ, отображается на списковой форме документа на статусе «Черновик».</w:t>
      </w:r>
      <w:r>
        <w:t xml:space="preserve"> </w:t>
      </w:r>
      <w:r>
        <w:t xml:space="preserve">При импорте по старым форматам, с</w:t>
      </w:r>
      <w:r>
        <w:t xml:space="preserve">формированный документ необходимо </w:t>
      </w:r>
      <w:r>
        <w:rPr>
          <w:rStyle w:val="1220"/>
        </w:rPr>
        <w:t xml:space="preserve">дозаполнить</w:t>
      </w:r>
      <w:r>
        <w:t xml:space="preserve"> в соответствии с п. </w:t>
      </w:r>
      <w:r>
        <w:fldChar w:fldCharType="begin"/>
      </w:r>
      <w:r>
        <w:instrText xml:space="preserve"> REF _Ref528075177 \n \h </w:instrText>
      </w:r>
      <w:r>
        <w:fldChar w:fldCharType="separate"/>
      </w:r>
      <w:r>
        <w:t xml:space="preserve">5.7.2</w:t>
      </w:r>
      <w:r>
        <w:fldChar w:fldCharType="end"/>
      </w:r>
      <w:r>
        <w:t xml:space="preserve"> и </w:t>
      </w:r>
      <w:bookmarkStart w:id="1341" w:name="OLE_LINK43"/>
      <w:r/>
      <w:bookmarkStart w:id="1342" w:name="OLE_LINK44"/>
      <w:r/>
      <w:bookmarkStart w:id="1343" w:name="OLE_LINK45"/>
      <w:r>
        <w:t xml:space="preserve">нажать </w:t>
      </w:r>
      <w:r>
        <w:t xml:space="preserve">кнопку «</w:t>
      </w:r>
      <w:r>
        <w:t xml:space="preserve">Проверить документ»</w:t>
      </w:r>
      <w:r>
        <w:t xml:space="preserve">.</w:t>
      </w:r>
      <w:bookmarkEnd w:id="1341"/>
      <w:r/>
      <w:bookmarkEnd w:id="1342"/>
      <w:r/>
      <w:bookmarkEnd w:id="1343"/>
      <w:r>
        <w:t xml:space="preserve"> При импорте УПД по новым форматам нажать </w:t>
      </w:r>
      <w:r>
        <w:t xml:space="preserve">кнопку «</w:t>
      </w:r>
      <w:r>
        <w:t xml:space="preserve">Проверить документ» -</w:t>
      </w:r>
      <w:r>
        <w:t xml:space="preserve"> </w:t>
      </w:r>
      <w:r>
        <w:rPr>
          <w:rStyle w:val="1220"/>
        </w:rPr>
        <w:t xml:space="preserve">дозаполнение</w:t>
      </w:r>
      <w:r>
        <w:t xml:space="preserve"> документа не требуется.</w:t>
      </w:r>
      <w:r/>
    </w:p>
    <w:p>
      <w:pPr>
        <w:pStyle w:val="982"/>
      </w:pPr>
      <w:r>
        <w:t xml:space="preserve">В </w:t>
      </w:r>
      <w:r>
        <w:t xml:space="preserve">случае положительного результата прохождения проверок</w:t>
      </w:r>
      <w:r>
        <w:t xml:space="preserve">,</w:t>
      </w:r>
      <w:r>
        <w:t xml:space="preserve"> </w:t>
      </w:r>
      <w:r>
        <w:t xml:space="preserve">статус документа меняется на «Новый»</w:t>
      </w:r>
      <w:r>
        <w:t xml:space="preserve">. В случае отрицательного результата прохождени</w:t>
      </w:r>
      <w:r>
        <w:t xml:space="preserve">я</w:t>
      </w:r>
      <w:r>
        <w:t xml:space="preserve"> проверок</w:t>
      </w:r>
      <w:r>
        <w:t xml:space="preserve">, </w:t>
      </w:r>
      <w:r>
        <w:t xml:space="preserve">документ </w:t>
      </w:r>
      <w:r>
        <w:t xml:space="preserve">остается на статусе «Черновик»</w:t>
      </w:r>
      <w:r>
        <w:t xml:space="preserve">.</w:t>
      </w:r>
      <w:r/>
    </w:p>
    <w:p>
      <w:pPr>
        <w:pStyle w:val="963"/>
      </w:pPr>
      <w:r/>
      <w:bookmarkStart w:id="1344" w:name="_Ref528075177"/>
      <w:r/>
      <w:bookmarkStart w:id="1345" w:name="_Toc20229529"/>
      <w:r/>
      <w:bookmarkStart w:id="1346" w:name="_Toc62446071"/>
      <w:r>
        <w:rPr>
          <w:rStyle w:val="1220"/>
        </w:rPr>
        <w:t xml:space="preserve">Дозаполнение</w:t>
      </w:r>
      <w:r>
        <w:t xml:space="preserve"> УПД при импорте по старым форматам</w:t>
      </w:r>
      <w:bookmarkEnd w:id="1344"/>
      <w:r/>
      <w:bookmarkEnd w:id="1345"/>
      <w:r/>
      <w:bookmarkEnd w:id="1346"/>
      <w:r/>
      <w:r/>
    </w:p>
    <w:p>
      <w:pPr>
        <w:pStyle w:val="964"/>
        <w:rPr>
          <w:lang w:eastAsia="zh-CN"/>
        </w:rPr>
      </w:pPr>
      <w:r>
        <w:rPr>
          <w:lang w:eastAsia="zh-CN"/>
        </w:rPr>
        <w:t xml:space="preserve">Условия выполнения операции</w:t>
      </w:r>
      <w:r/>
    </w:p>
    <w:p>
      <w:pPr>
        <w:pStyle w:val="985"/>
        <w:rPr>
          <w:lang w:eastAsia="zh-CN"/>
        </w:rPr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  <w:rPr>
          <w:lang w:eastAsia="zh-CN"/>
        </w:rPr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  <w:rPr>
          <w:lang w:eastAsia="zh-CN"/>
        </w:rPr>
      </w:pPr>
      <w:r>
        <w:rPr>
          <w:lang w:eastAsia="zh-CN"/>
        </w:rPr>
        <w:t xml:space="preserve">н</w:t>
      </w:r>
      <w:r>
        <w:rPr>
          <w:lang w:eastAsia="zh-CN"/>
        </w:rPr>
        <w:t xml:space="preserve">а списковой форме формуляра имеется документ на статусе «Черновик».</w:t>
      </w:r>
      <w:r/>
    </w:p>
    <w:p>
      <w:pPr>
        <w:pStyle w:val="964"/>
        <w:rPr>
          <w:lang w:eastAsia="zh-CN"/>
        </w:rPr>
      </w:pPr>
      <w:r>
        <w:rPr>
          <w:lang w:eastAsia="zh-CN"/>
        </w:rPr>
        <w:t xml:space="preserve">Последовательность действий</w:t>
      </w:r>
      <w:r/>
    </w:p>
    <w:p>
      <w:pPr>
        <w:pStyle w:val="1147"/>
        <w:numPr>
          <w:ilvl w:val="0"/>
          <w:numId w:val="21"/>
        </w:numPr>
        <w:rPr>
          <w:lang w:eastAsia="zh-CN"/>
        </w:r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</w:t>
      </w:r>
      <w:r>
        <w:rPr>
          <w:lang w:eastAsia="zh-CN"/>
        </w:rPr>
        <w:t xml:space="preserve">Все сервисы – </w:t>
      </w:r>
      <w:r>
        <w:t xml:space="preserve">Управление расходами – Компонент ведения денежных обязательств – Универсальный передаточный документ – Универсальный передаточный документ – Все документы (Клиент)</w:t>
      </w:r>
      <w:r>
        <w:t xml:space="preserve">»</w:t>
      </w:r>
      <w:r>
        <w:rPr>
          <w:lang w:eastAsia="zh-CN"/>
        </w:rPr>
        <w:t xml:space="preserve">.</w:t>
      </w:r>
      <w:r/>
    </w:p>
    <w:p>
      <w:pPr>
        <w:pStyle w:val="1147"/>
        <w:numPr>
          <w:ilvl w:val="0"/>
          <w:numId w:val="20"/>
        </w:numPr>
        <w:rPr>
          <w:lang w:eastAsia="zh-CN"/>
        </w:rPr>
      </w:pPr>
      <w:r>
        <w:rPr>
          <w:lang w:eastAsia="zh-CN"/>
        </w:rPr>
        <w:t xml:space="preserve">На списковой форме с помощью </w:t>
      </w:r>
      <w:r>
        <w:rPr>
          <w:rStyle w:val="1220"/>
        </w:rPr>
        <w:t xml:space="preserve">чекбокса</w:t>
      </w:r>
      <w:r>
        <w:rPr>
          <w:lang w:eastAsia="zh-CN"/>
        </w:rPr>
        <w:t xml:space="preserve"> выделить нужный документ в статусе «Черновик», на панели инструментов </w:t>
      </w:r>
      <w:r>
        <w:rPr>
          <w:lang w:eastAsia="zh-CN"/>
        </w:rPr>
        <w:t xml:space="preserve">нажать кнопку</w:t>
      </w:r>
      <w:r>
        <w:rPr>
          <w:lang w:eastAsia="zh-CN"/>
        </w:rP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95275" cy="285750"/>
                <wp:effectExtent l="19050" t="0" r="9525" b="0"/>
                <wp:docPr id="159" name="Рисунок 20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4"/>
                        <a:stretch/>
                      </pic:blipFill>
                      <pic:spPr bwMode="auto">
                        <a:xfrm>
                          <a:off x="0" y="0"/>
                          <a:ext cx="295274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8" o:spid="_x0000_s158" type="#_x0000_t75" style="mso-wrap-distance-left:0.0pt;mso-wrap-distance-top:0.0pt;mso-wrap-distance-right:0.0pt;mso-wrap-distance-bottom:0.0pt;width:23.2pt;height:22.5pt;" stroked="f" strokeweight="0.75pt">
                <v:path textboxrect="0,0,0,0"/>
                <v:imagedata r:id="rId164" o:title=""/>
              </v:shape>
            </w:pict>
          </mc:Fallback>
        </mc:AlternateContent>
      </w:r>
      <w:r>
        <w:rPr>
          <w:lang w:eastAsia="zh-CN"/>
        </w:rPr>
        <w:t xml:space="preserve"> </w:t>
      </w:r>
      <w:r>
        <w:rPr>
          <w:lang w:eastAsia="zh-CN"/>
        </w:rPr>
        <w:t xml:space="preserve">(</w:t>
      </w:r>
      <w:r>
        <w:rPr>
          <w:lang w:eastAsia="zh-CN"/>
        </w:rPr>
        <w:t xml:space="preserve">Открыть документ на редак</w:t>
      </w:r>
      <w:r>
        <w:rPr>
          <w:lang w:eastAsia="zh-CN"/>
        </w:rPr>
        <w:t xml:space="preserve">тирование)</w:t>
      </w:r>
      <w:r>
        <w:rPr>
          <w:lang w:eastAsia="zh-CN"/>
        </w:rPr>
        <w:t xml:space="preserve">. </w:t>
      </w:r>
      <w:r>
        <w:rPr>
          <w:lang w:eastAsia="zh-CN"/>
        </w:rPr>
        <w:t xml:space="preserve">На </w:t>
      </w:r>
      <w:r>
        <w:rPr>
          <w:lang w:eastAsia="zh-CN"/>
        </w:rPr>
        <w:t xml:space="preserve">открытой </w:t>
      </w:r>
      <w:r>
        <w:rPr>
          <w:lang w:eastAsia="zh-CN"/>
        </w:rPr>
        <w:t xml:space="preserve">визуальной форме документа </w:t>
      </w:r>
      <w:r>
        <w:rPr>
          <w:lang w:eastAsia="zh-CN"/>
        </w:rPr>
        <w:t xml:space="preserve">заполняются следующие реквизиты:</w:t>
      </w:r>
      <w:r/>
    </w:p>
    <w:p>
      <w:pPr>
        <w:pStyle w:val="983"/>
        <w:rPr>
          <w:rStyle w:val="992"/>
        </w:rPr>
      </w:pPr>
      <w:r>
        <w:rPr>
          <w:rStyle w:val="992"/>
        </w:rPr>
        <w:t xml:space="preserve">Вкладка «Универсальный передаточный документ»</w:t>
      </w:r>
      <w:r/>
    </w:p>
    <w:p>
      <w:pPr>
        <w:pStyle w:val="978"/>
      </w:pPr>
      <w:r>
        <w:t xml:space="preserve">в разделе </w:t>
      </w:r>
      <w:bookmarkStart w:id="1347" w:name="OLE_LINK7"/>
      <w:r/>
      <w:bookmarkStart w:id="1348" w:name="OLE_LINK8"/>
      <w:r/>
      <w:bookmarkStart w:id="1349" w:name="OLE_LINK9"/>
      <w:r/>
      <w:bookmarkStart w:id="1350" w:name="OLE_LINK10"/>
      <w:r>
        <w:t xml:space="preserve">«</w:t>
      </w:r>
      <w:bookmarkEnd w:id="1347"/>
      <w:r/>
      <w:bookmarkEnd w:id="1348"/>
      <w:r/>
      <w:bookmarkEnd w:id="1349"/>
      <w:r/>
      <w:bookmarkEnd w:id="1350"/>
      <w:r>
        <w:t xml:space="preserve">Основная информация</w:t>
      </w:r>
      <w:bookmarkStart w:id="1351" w:name="OLE_LINK11"/>
      <w:r/>
      <w:bookmarkStart w:id="1352" w:name="OLE_LINK12"/>
      <w:r/>
      <w:bookmarkStart w:id="1353" w:name="OLE_LINK13"/>
      <w:r>
        <w:t xml:space="preserve">»</w:t>
      </w:r>
      <w:bookmarkEnd w:id="1351"/>
      <w:r/>
      <w:bookmarkEnd w:id="1352"/>
      <w:r/>
      <w:bookmarkEnd w:id="1353"/>
      <w:r>
        <w:t xml:space="preserve">:</w:t>
      </w:r>
      <w:r/>
    </w:p>
    <w:p>
      <w:pPr>
        <w:pStyle w:val="979"/>
      </w:pPr>
      <w:r/>
      <w:bookmarkStart w:id="1354" w:name="OLE_LINK14"/>
      <w:r/>
      <w:bookmarkStart w:id="1355" w:name="OLE_LINK15"/>
      <w:r/>
      <w:bookmarkStart w:id="1356" w:name="OLE_LINK16"/>
      <w:r>
        <w:t xml:space="preserve">«Учетный номер БО»</w:t>
      </w:r>
      <w:bookmarkEnd w:id="1354"/>
      <w:r/>
      <w:bookmarkEnd w:id="1355"/>
      <w:r/>
      <w:bookmarkEnd w:id="1356"/>
      <w:r>
        <w:t xml:space="preserve">;</w:t>
      </w:r>
      <w:r/>
    </w:p>
    <w:p>
      <w:pPr>
        <w:pStyle w:val="979"/>
      </w:pPr>
      <w:r/>
      <w:bookmarkStart w:id="1357" w:name="OLE_LINK17"/>
      <w:r>
        <w:t xml:space="preserve">«</w:t>
      </w:r>
      <w:bookmarkEnd w:id="1357"/>
      <w:r>
        <w:t xml:space="preserve">Учетный номер ДО</w:t>
      </w:r>
      <w:bookmarkStart w:id="1358" w:name="OLE_LINK18"/>
      <w:r/>
      <w:bookmarkStart w:id="1359" w:name="OLE_LINK19"/>
      <w:r>
        <w:t xml:space="preserve">»;</w:t>
      </w:r>
      <w:bookmarkEnd w:id="1358"/>
      <w:r/>
      <w:bookmarkEnd w:id="1359"/>
      <w:r/>
      <w:r/>
    </w:p>
    <w:p>
      <w:pPr>
        <w:pStyle w:val="979"/>
      </w:pPr>
      <w:r>
        <w:t xml:space="preserve">«Сумма по УПД»</w:t>
      </w:r>
      <w:r>
        <w:t xml:space="preserve">.</w:t>
      </w:r>
      <w:r/>
    </w:p>
    <w:p>
      <w:pPr>
        <w:pStyle w:val="982"/>
        <w:rPr>
          <w:lang w:eastAsia="zh-CN"/>
        </w:rPr>
      </w:pPr>
      <w:r>
        <w:rPr>
          <w:lang w:eastAsia="zh-CN"/>
        </w:rPr>
        <w:t xml:space="preserve">В случае когда в документе не указан учетный номер БО, заполняются следующие реквизиты:</w:t>
      </w:r>
      <w:r/>
    </w:p>
    <w:p>
      <w:pPr>
        <w:pStyle w:val="983"/>
        <w:rPr>
          <w:rStyle w:val="992"/>
        </w:rPr>
      </w:pPr>
      <w:r/>
      <w:bookmarkStart w:id="1360" w:name="OLE_LINK34"/>
      <w:r/>
      <w:bookmarkStart w:id="1361" w:name="OLE_LINK35"/>
      <w:r/>
      <w:bookmarkStart w:id="1362" w:name="OLE_LINK36"/>
      <w:r/>
      <w:bookmarkStart w:id="1363" w:name="OLE_LINK37"/>
      <w:r>
        <w:rPr>
          <w:rStyle w:val="992"/>
        </w:rPr>
        <w:t xml:space="preserve">Вкладка «</w:t>
      </w:r>
      <w:r>
        <w:rPr>
          <w:rStyle w:val="992"/>
        </w:rPr>
        <w:t xml:space="preserve">Универсальный передаточный документ</w:t>
      </w:r>
      <w:r>
        <w:rPr>
          <w:rStyle w:val="992"/>
        </w:rPr>
        <w:t xml:space="preserve">»</w:t>
      </w:r>
      <w:bookmarkEnd w:id="1360"/>
      <w:bookmarkEnd w:id="1361"/>
      <w:r/>
    </w:p>
    <w:p>
      <w:pPr>
        <w:pStyle w:val="978"/>
      </w:pPr>
      <w:r>
        <w:t xml:space="preserve">в разделе </w:t>
      </w:r>
      <w:bookmarkStart w:id="1364" w:name="OLE_LINK1"/>
      <w:r/>
      <w:bookmarkStart w:id="1365" w:name="OLE_LINK2"/>
      <w:r/>
      <w:bookmarkStart w:id="1366" w:name="OLE_LINK3"/>
      <w:r>
        <w:t xml:space="preserve">«</w:t>
      </w:r>
      <w:bookmarkEnd w:id="1364"/>
      <w:r/>
      <w:bookmarkEnd w:id="1365"/>
      <w:r/>
      <w:bookmarkEnd w:id="1366"/>
      <w:r>
        <w:t xml:space="preserve">Информация продавца</w:t>
      </w:r>
      <w:bookmarkStart w:id="1367" w:name="OLE_LINK4"/>
      <w:r/>
      <w:bookmarkStart w:id="1368" w:name="OLE_LINK5"/>
      <w:r/>
      <w:bookmarkStart w:id="1369" w:name="OLE_LINK6"/>
      <w:r>
        <w:t xml:space="preserve">»</w:t>
      </w:r>
      <w:bookmarkEnd w:id="1367"/>
      <w:r/>
      <w:bookmarkEnd w:id="1368"/>
      <w:r/>
      <w:bookmarkEnd w:id="1369"/>
      <w:r>
        <w:t xml:space="preserve">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Код по бюджетной классификации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Лицевой счет</w:t>
      </w:r>
      <w:r>
        <w:t xml:space="preserve">»;</w:t>
      </w:r>
      <w:bookmarkEnd w:id="1362"/>
      <w:bookmarkEnd w:id="1363"/>
      <w:r/>
    </w:p>
    <w:p>
      <w:pPr>
        <w:pStyle w:val="978"/>
      </w:pPr>
      <w:r>
        <w:t xml:space="preserve">в разделе «Информация покупателя»: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Лицевой счет</w:t>
      </w:r>
      <w:r>
        <w:t xml:space="preserve">»;</w:t>
      </w:r>
      <w:r/>
    </w:p>
    <w:p>
      <w:pPr>
        <w:pStyle w:val="978"/>
      </w:pPr>
      <w:r>
        <w:t xml:space="preserve">в </w:t>
      </w:r>
      <w:r>
        <w:t xml:space="preserve">разделе «Реквизиты документа-основания»: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Номер документа -основания</w:t>
      </w:r>
      <w:r>
        <w:t xml:space="preserve">»;</w:t>
      </w:r>
      <w:r/>
    </w:p>
    <w:p>
      <w:pPr>
        <w:pStyle w:val="979"/>
      </w:pPr>
      <w:r>
        <w:t xml:space="preserve">«Дата документа-основания»</w:t>
      </w:r>
      <w:r>
        <w:t xml:space="preserve">.</w:t>
      </w:r>
      <w:r/>
    </w:p>
    <w:p>
      <w:pPr>
        <w:pStyle w:val="979"/>
      </w:pPr>
      <w:r>
        <w:t xml:space="preserve">«Предмет по документу-основанию»</w:t>
      </w:r>
      <w:r>
        <w:t xml:space="preserve">.</w:t>
      </w:r>
      <w:r/>
    </w:p>
    <w:p>
      <w:pPr>
        <w:pStyle w:val="983"/>
        <w:rPr>
          <w:rStyle w:val="992"/>
        </w:rPr>
      </w:pPr>
      <w:r/>
      <w:bookmarkStart w:id="1370" w:name="OLE_LINK38"/>
      <w:r/>
      <w:bookmarkStart w:id="1371" w:name="OLE_LINK39"/>
      <w:r>
        <w:rPr>
          <w:rStyle w:val="992"/>
        </w:rPr>
        <w:t xml:space="preserve">Вкладка «</w:t>
      </w:r>
      <w:r>
        <w:rPr>
          <w:rStyle w:val="992"/>
        </w:rPr>
        <w:t xml:space="preserve">Реквизиты для формирования ПД</w:t>
      </w:r>
      <w:r>
        <w:rPr>
          <w:rStyle w:val="992"/>
        </w:rPr>
        <w:t xml:space="preserve">»</w:t>
      </w:r>
      <w:r/>
    </w:p>
    <w:p>
      <w:pPr>
        <w:pStyle w:val="978"/>
      </w:pPr>
      <w:r>
        <w:t xml:space="preserve">в разделе «Реквизиты для формирования ПД»: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Вид платежа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П</w:t>
      </w:r>
      <w:r>
        <w:rPr>
          <w:lang w:eastAsia="zh-CN"/>
        </w:rPr>
        <w:t xml:space="preserve">редельная дата исполнения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Очередность платежа</w:t>
      </w:r>
      <w:r>
        <w:t xml:space="preserve">».</w:t>
      </w:r>
      <w:r/>
    </w:p>
    <w:p>
      <w:pPr>
        <w:pStyle w:val="983"/>
        <w:rPr>
          <w:rStyle w:val="992"/>
        </w:rPr>
      </w:pPr>
      <w:r/>
      <w:bookmarkStart w:id="1372" w:name="OLE_LINK40"/>
      <w:r/>
      <w:bookmarkEnd w:id="1370"/>
      <w:r/>
      <w:bookmarkEnd w:id="1371"/>
      <w:r>
        <w:rPr>
          <w:rStyle w:val="992"/>
        </w:rPr>
        <w:t xml:space="preserve">Вкладка «Расшифровка платежей»</w:t>
      </w:r>
      <w:r/>
    </w:p>
    <w:p>
      <w:pPr>
        <w:pStyle w:val="978"/>
      </w:pPr>
      <w:r>
        <w:t xml:space="preserve">в разделе «Расшифровка платежей по УПД»: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Вид средств</w:t>
      </w:r>
      <w:r>
        <w:t xml:space="preserve">»</w:t>
      </w:r>
      <w:r>
        <w:t xml:space="preserve">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Код объекта ФАИП (КМИ)</w:t>
      </w:r>
      <w:r>
        <w:t xml:space="preserve">»;</w:t>
      </w:r>
      <w:r/>
    </w:p>
    <w:p>
      <w:pPr>
        <w:pStyle w:val="979"/>
      </w:pPr>
      <w:r/>
      <w:bookmarkStart w:id="1373" w:name="OLE_LINK26"/>
      <w:r/>
      <w:bookmarkStart w:id="1374" w:name="OLE_LINK29"/>
      <w:r/>
      <w:bookmarkStart w:id="1375" w:name="OLE_LINK30"/>
      <w:r>
        <w:t xml:space="preserve">«</w:t>
      </w:r>
      <w:bookmarkEnd w:id="1373"/>
      <w:r/>
      <w:bookmarkEnd w:id="1374"/>
      <w:r/>
      <w:bookmarkEnd w:id="1375"/>
      <w:r>
        <w:rPr>
          <w:lang w:eastAsia="zh-CN"/>
        </w:rPr>
        <w:t xml:space="preserve">Код по БК заказчика</w:t>
      </w:r>
      <w:bookmarkStart w:id="1376" w:name="OLE_LINK24"/>
      <w:r/>
      <w:bookmarkStart w:id="1377" w:name="OLE_LINK25"/>
      <w:r>
        <w:t xml:space="preserve">»;</w:t>
      </w:r>
      <w:bookmarkEnd w:id="1376"/>
      <w:bookmarkEnd w:id="1377"/>
      <w:r/>
    </w:p>
    <w:p>
      <w:pPr>
        <w:pStyle w:val="979"/>
      </w:pPr>
      <w:r>
        <w:t xml:space="preserve">«Аналитический код (код цели)»;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В</w:t>
      </w:r>
      <w:r>
        <w:rPr>
          <w:lang w:eastAsia="zh-CN"/>
        </w:rPr>
        <w:t xml:space="preserve"> том числе перечислено сумм аванса</w:t>
      </w:r>
      <w:r>
        <w:t xml:space="preserve">»</w:t>
      </w:r>
      <w:r>
        <w:t xml:space="preserve">.</w:t>
      </w:r>
      <w:bookmarkEnd w:id="1372"/>
      <w:r/>
    </w:p>
    <w:p>
      <w:pPr>
        <w:pStyle w:val="982"/>
        <w:rPr>
          <w:lang w:eastAsia="zh-CN"/>
        </w:rPr>
      </w:pPr>
      <w:r>
        <w:rPr>
          <w:lang w:eastAsia="zh-CN"/>
        </w:rPr>
        <w:t xml:space="preserve">В случае когда указан в документе учетный н</w:t>
      </w:r>
      <w:r>
        <w:rPr>
          <w:lang w:eastAsia="zh-CN"/>
        </w:rPr>
        <w:t xml:space="preserve">омер БО, доступны к заполнению </w:t>
      </w:r>
      <w:r>
        <w:rPr>
          <w:lang w:eastAsia="zh-CN"/>
        </w:rPr>
        <w:t xml:space="preserve">вручную следующие поля:</w:t>
      </w:r>
      <w:r/>
    </w:p>
    <w:p>
      <w:pPr>
        <w:pStyle w:val="983"/>
        <w:rPr>
          <w:rStyle w:val="992"/>
        </w:rPr>
      </w:pPr>
      <w:r>
        <w:rPr>
          <w:rStyle w:val="992"/>
        </w:rPr>
        <w:t xml:space="preserve">Вкладка «Универсальный передаточный документ»</w:t>
      </w:r>
      <w:r/>
    </w:p>
    <w:p>
      <w:pPr>
        <w:pStyle w:val="978"/>
      </w:pPr>
      <w:r>
        <w:t xml:space="preserve">в разделе «Информация продавца»: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Код по бюджетной классификации</w:t>
      </w:r>
      <w:r>
        <w:t xml:space="preserve">».</w:t>
      </w:r>
      <w:r/>
    </w:p>
    <w:p>
      <w:pPr>
        <w:pStyle w:val="983"/>
        <w:rPr>
          <w:rStyle w:val="992"/>
        </w:rPr>
      </w:pPr>
      <w:r>
        <w:rPr>
          <w:rStyle w:val="992"/>
        </w:rPr>
        <w:t xml:space="preserve">Вкладка «Реквизиты для формирования ПД»</w:t>
      </w:r>
      <w:r/>
    </w:p>
    <w:p>
      <w:pPr>
        <w:pStyle w:val="978"/>
      </w:pPr>
      <w:r>
        <w:t xml:space="preserve">в разделе «Реквизиты для формирования ПД»: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Вид платежа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Предельная дата исполнения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Очередность платежа</w:t>
      </w:r>
      <w:r>
        <w:t xml:space="preserve">».</w:t>
      </w:r>
      <w:r/>
    </w:p>
    <w:p>
      <w:pPr>
        <w:pStyle w:val="983"/>
        <w:rPr>
          <w:rStyle w:val="992"/>
        </w:rPr>
      </w:pPr>
      <w:r>
        <w:rPr>
          <w:rStyle w:val="992"/>
        </w:rPr>
        <w:t xml:space="preserve">Вкладка «Расшифровка платежей»</w:t>
      </w:r>
      <w:r/>
    </w:p>
    <w:p>
      <w:pPr>
        <w:pStyle w:val="978"/>
      </w:pPr>
      <w:r>
        <w:t xml:space="preserve">в разделе «Расшифровка платежей по УПД»: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Вид средств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Код объекта ФАИП (КМИ)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Код по БК заказчика</w:t>
      </w:r>
      <w:r>
        <w:t xml:space="preserve">»;</w:t>
      </w:r>
      <w:r/>
    </w:p>
    <w:p>
      <w:pPr>
        <w:pStyle w:val="979"/>
      </w:pPr>
      <w:r>
        <w:t xml:space="preserve">«</w:t>
      </w:r>
      <w:r>
        <w:rPr>
          <w:lang w:eastAsia="zh-CN"/>
        </w:rPr>
        <w:t xml:space="preserve">В том числе перечислено сумм аванса</w:t>
      </w:r>
      <w:r>
        <w:t xml:space="preserve">».</w:t>
      </w:r>
      <w:r/>
    </w:p>
    <w:p>
      <w:pPr>
        <w:pStyle w:val="1147"/>
        <w:numPr>
          <w:ilvl w:val="0"/>
          <w:numId w:val="20"/>
        </w:numPr>
        <w:rPr>
          <w:lang w:eastAsia="zh-CN"/>
        </w:rPr>
      </w:pPr>
      <w:r>
        <w:rPr>
          <w:lang w:eastAsia="zh-CN"/>
        </w:rPr>
        <w:t xml:space="preserve">Для автоматической проверки корректности заполнений реквизитов документа </w:t>
      </w:r>
      <w:r>
        <w:rPr>
          <w:lang w:eastAsia="zh-CN"/>
        </w:rPr>
        <w:t xml:space="preserve">нажать кнопку «</w:t>
      </w:r>
      <w:r>
        <w:rPr>
          <w:lang w:eastAsia="zh-CN"/>
        </w:rPr>
        <w:t xml:space="preserve">Проверить документ». </w:t>
      </w:r>
      <w:r>
        <w:t xml:space="preserve">После вывода результатов автоматической проверки документа, нажать </w:t>
      </w:r>
      <w:r>
        <w:t xml:space="preserve">кнопку «</w:t>
      </w:r>
      <w:r>
        <w:t xml:space="preserve">Сохранить». В случае, если проверки пройдены успешно, статус документа изменится на «Новый</w:t>
      </w:r>
      <w:r>
        <w:t xml:space="preserve">». Иначе –</w:t>
      </w:r>
      <w:r>
        <w:t xml:space="preserve"> документ останется на статусе «Черновик».</w:t>
      </w:r>
      <w:r/>
    </w:p>
    <w:p>
      <w:pPr>
        <w:pStyle w:val="963"/>
      </w:pPr>
      <w:r/>
      <w:bookmarkStart w:id="1378" w:name="_Ref36192944"/>
      <w:r/>
      <w:bookmarkStart w:id="1379" w:name="_Toc62446072"/>
      <w:r>
        <w:t xml:space="preserve">Внесение изменений в ранее зарегистрированный УПД</w:t>
      </w:r>
      <w:bookmarkEnd w:id="1378"/>
      <w:r/>
      <w:bookmarkEnd w:id="1379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</w:pPr>
      <w:r>
        <w:t xml:space="preserve">пользователям настроен необходимый доступ к системе;</w:t>
      </w:r>
      <w:r/>
    </w:p>
    <w:p>
      <w:pPr>
        <w:pStyle w:val="976"/>
      </w:pPr>
      <w:r>
        <w:t xml:space="preserve">есть архив с файлами УПД в формате XML, где заполнен реквизит «Номер исправления» значением, отличным от 0.</w:t>
      </w:r>
      <w:r/>
    </w:p>
    <w:p>
      <w:pPr>
        <w:pStyle w:val="964"/>
      </w:pPr>
      <w:r>
        <w:t xml:space="preserve">Последовательность действий</w:t>
      </w:r>
      <w:r/>
    </w:p>
    <w:p>
      <w:pPr>
        <w:pStyle w:val="1147"/>
        <w:numPr>
          <w:ilvl w:val="0"/>
          <w:numId w:val="87"/>
        </w:num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</w:t>
      </w:r>
      <w:r>
        <w:rPr>
          <w:lang w:eastAsia="zh-CN"/>
        </w:rPr>
        <w:t xml:space="preserve">Все сервисы – </w:t>
      </w:r>
      <w:r>
        <w:t xml:space="preserve">Управление расходами – Компонент ведения денежных обязательств – Универсальный передаточный документ – Универсальный передаточный документ – Все документы (Клиент)</w:t>
      </w:r>
      <w:r>
        <w:t xml:space="preserve">».</w:t>
      </w:r>
      <w:r/>
    </w:p>
    <w:p>
      <w:pPr>
        <w:pStyle w:val="1147"/>
        <w:numPr>
          <w:ilvl w:val="0"/>
          <w:numId w:val="87"/>
        </w:numPr>
      </w:pPr>
      <w:r>
        <w:t xml:space="preserve">На панели инструментов нажать </w:t>
      </w:r>
      <w:r>
        <w:t xml:space="preserve">кнопку «</w:t>
      </w:r>
      <w:r>
        <w:t xml:space="preserve">Импорт».</w:t>
      </w:r>
      <w:r>
        <w:t xml:space="preserve"> </w:t>
      </w:r>
      <w:r>
        <w:t xml:space="preserve">Чтобы указать путь к архиву с файлами УПД в формате XML, необходимо нажать </w:t>
      </w:r>
      <w:r>
        <w:t xml:space="preserve">кнопку «</w:t>
      </w:r>
      <w:r>
        <w:t xml:space="preserve">Загрузить». После указания пути к файлу нажать </w:t>
      </w:r>
      <w:r>
        <w:t xml:space="preserve">кнопку «</w:t>
      </w:r>
      <w:r>
        <w:t xml:space="preserve">Сохранить».</w:t>
      </w:r>
      <w:r/>
    </w:p>
    <w:p>
      <w:pPr>
        <w:pStyle w:val="1147"/>
        <w:numPr>
          <w:ilvl w:val="0"/>
          <w:numId w:val="87"/>
        </w:numPr>
      </w:pPr>
      <w:r>
        <w:t xml:space="preserve">На СФ нажать </w:t>
      </w:r>
      <w:r>
        <w:t xml:space="preserve">кнопку «</w:t>
      </w:r>
      <w:r>
        <w:t xml:space="preserve">Открыть документ на редактирование». Дозаполнить файл в соответствии и нажать </w:t>
      </w:r>
      <w:r>
        <w:t xml:space="preserve">кнопку «</w:t>
      </w:r>
      <w:r>
        <w:t xml:space="preserve">Проверить документ». После вывода результатов автоматической проверки документа нажать </w:t>
      </w:r>
      <w:r>
        <w:t xml:space="preserve">кнопку «</w:t>
      </w:r>
      <w:r>
        <w:t xml:space="preserve">Сохранить».</w:t>
      </w:r>
      <w:r/>
    </w:p>
    <w:p>
      <w:pPr>
        <w:pStyle w:val="985"/>
      </w:pPr>
      <w:r>
        <w:t xml:space="preserve">В случае необходимости предоставления пользователем УПД с типом </w:t>
      </w:r>
      <w:r>
        <w:t xml:space="preserve">«Изменение»</w:t>
      </w:r>
      <w:r>
        <w:t xml:space="preserve">, до внесения изменений в форматы ФНС (в части расширения размерности №</w:t>
      </w:r>
      <w:r>
        <w:t xml:space="preserve"> </w:t>
      </w:r>
      <w:r>
        <w:t xml:space="preserve">ДО до 25 знаков) Клиенту необходимо через ЛК ПБС П</w:t>
      </w:r>
      <w:r>
        <w:t xml:space="preserve">УР ЭБ сформировать СДО с типом «Изменение»</w:t>
      </w:r>
      <w:r>
        <w:t xml:space="preserve"> на ДО, ранее сформированный из УПД, в соответствии с текущей реализованной функциональностью.</w:t>
      </w:r>
      <w:r/>
    </w:p>
    <w:p>
      <w:pPr>
        <w:pStyle w:val="986"/>
      </w:pPr>
      <w:r>
        <w:t xml:space="preserve">Последовательность выполняемых действий:</w:t>
      </w:r>
      <w:r/>
    </w:p>
    <w:p>
      <w:pPr>
        <w:pStyle w:val="1147"/>
        <w:numPr>
          <w:ilvl w:val="0"/>
          <w:numId w:val="88"/>
        </w:numPr>
      </w:pPr>
      <w:r>
        <w:t xml:space="preserve">Зайти в ЛК ПБС ПУР ЭБ</w:t>
      </w:r>
      <w:r>
        <w:t xml:space="preserve"> и развернуть ветку «Управление расходами – Денежные обязательства – Сведения о денежном обязательстве – Все документы (клиент)».</w:t>
      </w:r>
      <w:r/>
    </w:p>
    <w:p>
      <w:pPr>
        <w:pStyle w:val="1147"/>
      </w:pPr>
      <w:r>
        <w:t xml:space="preserve">Нажать кнопку «</w:t>
      </w:r>
      <w:r>
        <w:t xml:space="preserve">Создать новый документ». Для создания документа с типом «Изменение» необходимо будет на визуальной форме выбрать из выпадающего списка тип сведений «Изменение» и далее </w:t>
      </w:r>
      <w:r>
        <w:t xml:space="preserve">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0500" cy="180975"/>
                <wp:effectExtent l="19050" t="0" r="0" b="0"/>
                <wp:docPr id="160" name="Рисунок 2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9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9" o:spid="_x0000_s159" type="#_x0000_t75" style="mso-wrap-distance-left:0.0pt;mso-wrap-distance-top:0.0pt;mso-wrap-distance-right:0.0pt;mso-wrap-distance-bottom:0.0pt;width:15.0pt;height:14.2pt;" stroked="f" strokeweight="0.75pt">
                <v:path textboxrect="0,0,0,0"/>
                <v:imagedata r:id="rId115" o:title=""/>
              </v:shape>
            </w:pict>
          </mc:Fallback>
        </mc:AlternateContent>
      </w:r>
      <w:r>
        <w:t xml:space="preserve"> </w:t>
      </w:r>
      <w:r>
        <w:rPr>
          <w:szCs w:val="28"/>
        </w:rPr>
        <w:t xml:space="preserve">рядом с полем «Тип сведений»,</w:t>
      </w:r>
      <w:r>
        <w:t xml:space="preserve"> выбрать из справочника «Денежное обязательство» запись, на которую необходимо создать изменение ( см. </w:t>
      </w:r>
      <w:r>
        <w:t xml:space="preserve">рис. </w:t>
      </w:r>
      <w:r>
        <w:fldChar w:fldCharType="begin"/>
      </w:r>
      <w:r>
        <w:instrText xml:space="preserve"> REF _Ref518986812 \h </w:instrText>
      </w:r>
      <w:r>
        <w:fldChar w:fldCharType="separate"/>
      </w:r>
      <w:r>
        <w:t xml:space="preserve">68</w:t>
      </w:r>
      <w:r>
        <w:fldChar w:fldCharType="end"/>
      </w:r>
      <w:r>
        <w:t xml:space="preserve">).</w:t>
      </w:r>
      <w:r/>
    </w:p>
    <w:p>
      <w:pPr>
        <w:pStyle w:val="1147"/>
      </w:pPr>
      <w:r>
        <w:t xml:space="preserve">В </w:t>
      </w:r>
      <w:r>
        <w:t xml:space="preserve">открывшейся форме нового документа:</w:t>
      </w:r>
      <w:r/>
    </w:p>
    <w:p>
      <w:pPr>
        <w:pStyle w:val="978"/>
      </w:pPr>
      <w:r>
        <w:t xml:space="preserve">в поле </w:t>
      </w:r>
      <w:r>
        <w:t xml:space="preserve">«Учетный номер БО»</w:t>
      </w:r>
      <w:r>
        <w:t xml:space="preserve"> указать №</w:t>
      </w:r>
      <w:r>
        <w:t xml:space="preserve"> </w:t>
      </w:r>
      <w:r>
        <w:t xml:space="preserve">БО, по которому предоставлялось первичное УПД, или которой</w:t>
      </w:r>
      <w:r>
        <w:t xml:space="preserve"> сформировался на первичное УПД;</w:t>
      </w:r>
      <w:r/>
    </w:p>
    <w:p>
      <w:pPr>
        <w:pStyle w:val="978"/>
      </w:pPr>
      <w:r>
        <w:t xml:space="preserve">в поле «</w:t>
      </w:r>
      <w:r>
        <w:t xml:space="preserve">Учетный номер Д</w:t>
      </w:r>
      <w:r>
        <w:t xml:space="preserve">О»</w:t>
      </w:r>
      <w:r>
        <w:t xml:space="preserve"> указать №</w:t>
      </w:r>
      <w:r>
        <w:t xml:space="preserve"> </w:t>
      </w:r>
      <w:r>
        <w:t xml:space="preserve">ДО, котор</w:t>
      </w:r>
      <w:r>
        <w:t xml:space="preserve">ое</w:t>
      </w:r>
      <w:r>
        <w:t xml:space="preserve"> сформировал</w:t>
      </w:r>
      <w:r>
        <w:t xml:space="preserve">ось на первичное УПД;</w:t>
      </w:r>
      <w:r/>
    </w:p>
    <w:p>
      <w:pPr>
        <w:pStyle w:val="978"/>
      </w:pPr>
      <w:r>
        <w:t xml:space="preserve">в разделе «</w:t>
      </w:r>
      <w:r>
        <w:t xml:space="preserve">Реквизиты документа, подтверждающего возник</w:t>
      </w:r>
      <w:r>
        <w:t xml:space="preserve">новение денежного обязательства»</w:t>
      </w:r>
      <w:r>
        <w:t xml:space="preserve"> указать реквизиты УПД, н</w:t>
      </w:r>
      <w:r>
        <w:t xml:space="preserve">а который формируется изменение;</w:t>
      </w:r>
      <w:r/>
    </w:p>
    <w:p>
      <w:pPr>
        <w:pStyle w:val="978"/>
      </w:pPr>
      <w:r>
        <w:t xml:space="preserve">заполнить остальные поля документа с учетом требуемых из</w:t>
      </w:r>
      <w:r>
        <w:t xml:space="preserve">менений.</w:t>
      </w:r>
      <w:r/>
    </w:p>
    <w:p>
      <w:pPr>
        <w:pStyle w:val="1147"/>
      </w:pPr>
      <w:r>
        <w:t xml:space="preserve">Сохранить созданный документ.</w:t>
      </w:r>
      <w:r/>
    </w:p>
    <w:p>
      <w:pPr>
        <w:pStyle w:val="963"/>
        <w:rPr>
          <w:lang w:eastAsia="zh-CN"/>
        </w:rPr>
      </w:pPr>
      <w:r/>
      <w:bookmarkStart w:id="1380" w:name="_Toc20229530"/>
      <w:r/>
      <w:bookmarkStart w:id="1381" w:name="_Toc62446073"/>
      <w:r>
        <w:rPr>
          <w:lang w:eastAsia="zh-CN"/>
        </w:rPr>
        <w:t xml:space="preserve">Отправка на согласование</w:t>
      </w:r>
      <w:bookmarkEnd w:id="1380"/>
      <w:r/>
      <w:bookmarkEnd w:id="1381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  <w:rPr>
          <w:lang w:eastAsia="zh-CN"/>
        </w:rPr>
      </w:pPr>
      <w:r>
        <w:t xml:space="preserve">дата обработки документа больше и равна дате начала действия функциональности СКП.</w:t>
      </w:r>
      <w:r/>
    </w:p>
    <w:p>
      <w:pPr>
        <w:pStyle w:val="964"/>
      </w:pPr>
      <w:r>
        <w:t xml:space="preserve">Последовательность действий</w:t>
      </w:r>
      <w:r/>
    </w:p>
    <w:p>
      <w:pPr>
        <w:pStyle w:val="1147"/>
        <w:numPr>
          <w:ilvl w:val="0"/>
          <w:numId w:val="22"/>
        </w:numPr>
        <w:rPr>
          <w:lang w:eastAsia="zh-CN"/>
        </w:r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</w:t>
      </w:r>
      <w:r>
        <w:rPr>
          <w:lang w:eastAsia="zh-CN"/>
        </w:rPr>
        <w:t xml:space="preserve">Все сервисы – </w:t>
      </w:r>
      <w:r>
        <w:t xml:space="preserve">Управление расходами – Компонент ведения денежных обязательств – Универсальный передаточный документ – Универсальный передаточный документ – Все документы (Клиент)</w:t>
      </w:r>
      <w:r>
        <w:t xml:space="preserve">»</w:t>
      </w:r>
      <w:r>
        <w:rPr>
          <w:lang w:eastAsia="zh-CN"/>
        </w:rPr>
        <w:t xml:space="preserve">.</w:t>
      </w:r>
      <w:r/>
    </w:p>
    <w:p>
      <w:pPr>
        <w:pStyle w:val="1147"/>
        <w:numPr>
          <w:ilvl w:val="0"/>
          <w:numId w:val="22"/>
        </w:numPr>
        <w:rPr>
          <w:lang w:eastAsia="zh-CN"/>
        </w:rPr>
      </w:pPr>
      <w:r>
        <w:rPr>
          <w:lang w:eastAsia="zh-CN"/>
        </w:rPr>
        <w:t xml:space="preserve">На списковой форме с помощью </w:t>
      </w:r>
      <w:r>
        <w:rPr>
          <w:rStyle w:val="1220"/>
        </w:rPr>
        <w:t xml:space="preserve">чекбокса</w:t>
      </w:r>
      <w:r>
        <w:rPr>
          <w:lang w:eastAsia="zh-CN"/>
        </w:rPr>
        <w:t xml:space="preserve"> выделить необходимый документ на статусе «Новый». На панели инструментов </w:t>
      </w:r>
      <w:r>
        <w:rPr>
          <w:lang w:eastAsia="zh-CN"/>
        </w:rPr>
        <w:t xml:space="preserve">нажать кнопку «</w:t>
      </w:r>
      <w:r>
        <w:rPr>
          <w:lang w:eastAsia="zh-CN"/>
        </w:rPr>
        <w:t xml:space="preserve">Направить на согласование»</w:t>
      </w:r>
      <w:r>
        <w:rPr>
          <w:lang w:eastAsia="zh-CN"/>
        </w:rPr>
        <w:t xml:space="preserve">, во всплывающем окне </w:t>
      </w:r>
      <w:r>
        <w:t xml:space="preserve">указать согласующего и утверждающего</w:t>
      </w:r>
      <w:r>
        <w:rPr>
          <w:lang w:eastAsia="zh-CN"/>
        </w:rPr>
        <w:t xml:space="preserve">. Статус документа изменится на «На согласовании».</w:t>
      </w:r>
      <w:r/>
    </w:p>
    <w:p>
      <w:pPr>
        <w:pStyle w:val="963"/>
        <w:rPr>
          <w:lang w:eastAsia="zh-CN"/>
        </w:rPr>
      </w:pPr>
      <w:r/>
      <w:bookmarkStart w:id="1382" w:name="_Toc20229531"/>
      <w:r/>
      <w:bookmarkStart w:id="1383" w:name="_Toc62446074"/>
      <w:r>
        <w:rPr>
          <w:lang w:eastAsia="zh-CN"/>
        </w:rPr>
        <w:t xml:space="preserve">С</w:t>
      </w:r>
      <w:r>
        <w:rPr>
          <w:lang w:eastAsia="zh-CN"/>
        </w:rPr>
        <w:t xml:space="preserve">огласование УПД</w:t>
      </w:r>
      <w:bookmarkEnd w:id="1382"/>
      <w:r/>
      <w:bookmarkEnd w:id="1383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  <w:rPr>
          <w:lang w:eastAsia="zh-CN"/>
        </w:rPr>
      </w:pPr>
      <w:r>
        <w:t xml:space="preserve">дата обработки документа больше и равна дате начала действия функциональности СКП.</w:t>
      </w:r>
      <w:r/>
    </w:p>
    <w:p>
      <w:pPr>
        <w:pStyle w:val="964"/>
      </w:pPr>
      <w:r>
        <w:t xml:space="preserve">Последовательность действий</w:t>
      </w:r>
      <w:r/>
    </w:p>
    <w:p>
      <w:pPr>
        <w:pStyle w:val="1147"/>
        <w:numPr>
          <w:ilvl w:val="0"/>
          <w:numId w:val="23"/>
        </w:numPr>
        <w:rPr>
          <w:lang w:eastAsia="zh-CN"/>
        </w:r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</w:t>
      </w:r>
      <w:r>
        <w:rPr>
          <w:lang w:eastAsia="zh-CN"/>
        </w:rPr>
        <w:t xml:space="preserve">Все сервисы – </w:t>
      </w:r>
      <w:r>
        <w:t xml:space="preserve">Управление расходами – Компонент ведения денежных обязательств – Универсальный передаточный документ – Универсальный передаточный документ – Все документы (Клиент)</w:t>
      </w:r>
      <w:r>
        <w:t xml:space="preserve">»</w:t>
      </w:r>
      <w:r>
        <w:rPr>
          <w:lang w:eastAsia="zh-CN"/>
        </w:rPr>
        <w:t xml:space="preserve">.</w:t>
      </w:r>
      <w:r/>
    </w:p>
    <w:p>
      <w:pPr>
        <w:pStyle w:val="1147"/>
        <w:numPr>
          <w:ilvl w:val="0"/>
          <w:numId w:val="23"/>
        </w:numPr>
        <w:rPr>
          <w:lang w:eastAsia="zh-CN"/>
        </w:rPr>
      </w:pPr>
      <w:r>
        <w:rPr>
          <w:lang w:eastAsia="zh-CN"/>
        </w:rPr>
        <w:t xml:space="preserve">На списковой форме с помощью </w:t>
      </w:r>
      <w:r>
        <w:rPr>
          <w:rStyle w:val="1220"/>
        </w:rPr>
        <w:t xml:space="preserve">чекбокса</w:t>
      </w:r>
      <w:r>
        <w:rPr>
          <w:lang w:eastAsia="zh-CN"/>
        </w:rPr>
        <w:t xml:space="preserve"> выделить необходимый документ на статусе «На согласовании». Установить </w:t>
      </w:r>
      <w:r>
        <w:rPr>
          <w:rStyle w:val="1220"/>
        </w:rPr>
        <w:t xml:space="preserve">чекбокс</w:t>
      </w:r>
      <w:r>
        <w:rPr>
          <w:lang w:eastAsia="zh-CN"/>
        </w:rPr>
        <w:t xml:space="preserve"> напротив документа, который необходимо согласовать. </w:t>
      </w:r>
      <w:r/>
    </w:p>
    <w:p>
      <w:pPr>
        <w:pStyle w:val="1147"/>
        <w:numPr>
          <w:ilvl w:val="0"/>
          <w:numId w:val="23"/>
        </w:numPr>
        <w:rPr>
          <w:lang w:eastAsia="zh-CN"/>
        </w:rPr>
      </w:pPr>
      <w:r>
        <w:t xml:space="preserve">На панели инструментов нажать </w:t>
      </w:r>
      <w:r>
        <w:t xml:space="preserve">кнопку «</w:t>
      </w:r>
      <w:r>
        <w:t xml:space="preserve">Согласовать». В появившемся диалоговом окне нажать «Согласовать». Статус документа изменится на «На утверждении».</w:t>
      </w:r>
      <w:r/>
    </w:p>
    <w:p>
      <w:pPr>
        <w:pStyle w:val="963"/>
        <w:rPr>
          <w:lang w:eastAsia="zh-CN"/>
        </w:rPr>
      </w:pPr>
      <w:r/>
      <w:bookmarkStart w:id="1384" w:name="_Toc20229532"/>
      <w:r/>
      <w:bookmarkStart w:id="1385" w:name="_Toc62446075"/>
      <w:r>
        <w:rPr>
          <w:lang w:eastAsia="zh-CN"/>
        </w:rPr>
        <w:t xml:space="preserve">Утверждение УПД</w:t>
      </w:r>
      <w:bookmarkEnd w:id="1384"/>
      <w:r/>
      <w:bookmarkEnd w:id="1385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  <w:rPr>
          <w:lang w:eastAsia="zh-CN"/>
        </w:rPr>
      </w:pPr>
      <w:r>
        <w:t xml:space="preserve">дата обработки документа больше и равна дате начала действия функциональности СКП.</w:t>
      </w:r>
      <w:r/>
    </w:p>
    <w:p>
      <w:pPr>
        <w:pStyle w:val="964"/>
      </w:pPr>
      <w:r>
        <w:t xml:space="preserve">Последовательность действий</w:t>
      </w:r>
      <w:r/>
    </w:p>
    <w:p>
      <w:pPr>
        <w:pStyle w:val="1147"/>
        <w:numPr>
          <w:ilvl w:val="0"/>
          <w:numId w:val="24"/>
        </w:numPr>
        <w:rPr>
          <w:lang w:eastAsia="zh-CN"/>
        </w:r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</w:t>
      </w:r>
      <w:r>
        <w:rPr>
          <w:lang w:eastAsia="zh-CN"/>
        </w:rPr>
        <w:t xml:space="preserve">Все сервисы – </w:t>
      </w:r>
      <w:r>
        <w:t xml:space="preserve">Управление расходами – Компонент ведения денежных обязательств – Универсальный передаточный документ – Универсальный передаточный документ – Все документы (Клиент)</w:t>
      </w:r>
      <w:r>
        <w:t xml:space="preserve">»</w:t>
      </w:r>
      <w:r>
        <w:rPr>
          <w:lang w:eastAsia="zh-CN"/>
        </w:rPr>
        <w:t xml:space="preserve">.</w:t>
      </w:r>
      <w:r/>
    </w:p>
    <w:p>
      <w:pPr>
        <w:pStyle w:val="1147"/>
        <w:numPr>
          <w:ilvl w:val="0"/>
          <w:numId w:val="24"/>
        </w:numPr>
        <w:rPr>
          <w:lang w:eastAsia="zh-CN"/>
        </w:rPr>
      </w:pPr>
      <w:r>
        <w:rPr>
          <w:lang w:eastAsia="zh-CN"/>
        </w:rPr>
        <w:t xml:space="preserve">На списковой форме с помощью </w:t>
      </w:r>
      <w:r>
        <w:rPr>
          <w:rStyle w:val="1220"/>
        </w:rPr>
        <w:t xml:space="preserve">чекбокса</w:t>
      </w:r>
      <w:r>
        <w:rPr>
          <w:lang w:eastAsia="zh-CN"/>
        </w:rPr>
        <w:t xml:space="preserve"> выделить необходимый документ на статусе «На утверждении». Установить </w:t>
      </w:r>
      <w:r>
        <w:rPr>
          <w:rStyle w:val="1220"/>
        </w:rPr>
        <w:t xml:space="preserve">чекбокс</w:t>
      </w:r>
      <w:r>
        <w:rPr>
          <w:lang w:eastAsia="zh-CN"/>
        </w:rPr>
        <w:t xml:space="preserve"> напротив документа, который необходимо утвердить</w:t>
      </w:r>
      <w:r>
        <w:rPr>
          <w:lang w:eastAsia="zh-CN"/>
        </w:rPr>
        <w:t xml:space="preserve">.</w:t>
      </w:r>
      <w:r/>
    </w:p>
    <w:p>
      <w:pPr>
        <w:pStyle w:val="1147"/>
      </w:pPr>
      <w:r>
        <w:t xml:space="preserve">На панели инструментов нажать </w:t>
      </w:r>
      <w:r>
        <w:t xml:space="preserve">кнопку «</w:t>
      </w:r>
      <w:r>
        <w:t xml:space="preserve">Утвердить». В появившемся диалоговом окне нажать «Утвердить».</w:t>
      </w:r>
      <w:r/>
    </w:p>
    <w:p>
      <w:pPr>
        <w:pStyle w:val="1147"/>
        <w:rPr>
          <w:lang w:eastAsia="zh-CN"/>
        </w:rPr>
      </w:pPr>
      <w:r>
        <w:t xml:space="preserve">Во всплывающем окне «Просмотр документа перед формированием подписи» нажать «Подписать», выбрав сертификат пользователя. Статус документа изменится на «Утвержден», документ будет направлен к ЛК ТОФК.</w:t>
      </w:r>
      <w:r/>
    </w:p>
    <w:p>
      <w:pPr>
        <w:pStyle w:val="963"/>
        <w:rPr>
          <w:lang w:eastAsia="zh-CN"/>
        </w:rPr>
      </w:pPr>
      <w:r/>
      <w:bookmarkStart w:id="1386" w:name="_Toc20229533"/>
      <w:r/>
      <w:bookmarkStart w:id="1387" w:name="_Toc62446076"/>
      <w:r>
        <w:rPr>
          <w:lang w:eastAsia="zh-CN"/>
        </w:rPr>
        <w:t xml:space="preserve">Печать</w:t>
      </w:r>
      <w:r>
        <w:rPr>
          <w:lang w:eastAsia="zh-CN"/>
        </w:rPr>
        <w:t xml:space="preserve"> УПД</w:t>
      </w:r>
      <w:bookmarkEnd w:id="1386"/>
      <w:r/>
      <w:bookmarkEnd w:id="1387"/>
      <w:r/>
      <w:r/>
    </w:p>
    <w:p>
      <w:pPr>
        <w:pStyle w:val="964"/>
      </w:pPr>
      <w:r>
        <w:t xml:space="preserve">Условия выполнения операции</w:t>
      </w:r>
      <w:r/>
    </w:p>
    <w:p>
      <w:pPr>
        <w:pStyle w:val="986"/>
      </w:pPr>
      <w:r>
        <w:t xml:space="preserve">Для выполнения операции необходимо соблюдение следующих условий:</w:t>
      </w:r>
      <w:r/>
    </w:p>
    <w:p>
      <w:pPr>
        <w:pStyle w:val="976"/>
      </w:pPr>
      <w:r>
        <w:t xml:space="preserve">в ПУР ЭБ заполнен справочник «Книга регистрации казначейских счетов»;</w:t>
      </w:r>
      <w:r/>
    </w:p>
    <w:p>
      <w:pPr>
        <w:pStyle w:val="976"/>
      </w:pPr>
      <w:r>
        <w:t xml:space="preserve">дата обработки документа больше и равна дате начала действия функциональности СКП;</w:t>
      </w:r>
      <w:r/>
    </w:p>
    <w:p>
      <w:pPr>
        <w:pStyle w:val="976"/>
      </w:pPr>
      <w:r>
        <w:t xml:space="preserve">пользователям настроен необходимый доступ к системе.</w:t>
      </w:r>
      <w:r/>
    </w:p>
    <w:p>
      <w:pPr>
        <w:pStyle w:val="964"/>
        <w:rPr>
          <w:lang w:eastAsia="zh-CN"/>
        </w:rPr>
      </w:pPr>
      <w:r>
        <w:t xml:space="preserve">Последовательность действий</w:t>
      </w:r>
      <w:r/>
    </w:p>
    <w:p>
      <w:pPr>
        <w:pStyle w:val="1147"/>
        <w:numPr>
          <w:ilvl w:val="0"/>
          <w:numId w:val="25"/>
        </w:numPr>
        <w:rPr>
          <w:lang w:eastAsia="zh-CN"/>
        </w:rPr>
      </w:pPr>
      <w:r>
        <w:t xml:space="preserve">В</w:t>
      </w:r>
      <w:r>
        <w:rPr>
          <w:lang w:eastAsia="zh-CN"/>
        </w:rPr>
        <w:t xml:space="preserve">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</w:t>
      </w:r>
      <w:r>
        <w:rPr>
          <w:lang w:eastAsia="zh-CN"/>
        </w:rPr>
        <w:t xml:space="preserve">Все сервисы – </w:t>
      </w:r>
      <w:r>
        <w:t xml:space="preserve">Управление расходами – Компонент ведения денежных обязательств – Универсальный передаточный документ – Универсальный передаточный документ – Все документы (Клиент)</w:t>
      </w:r>
      <w:r>
        <w:t xml:space="preserve">»</w:t>
      </w:r>
      <w:r>
        <w:rPr>
          <w:lang w:eastAsia="zh-CN"/>
        </w:rPr>
        <w:t xml:space="preserve">.</w:t>
      </w:r>
      <w:r/>
    </w:p>
    <w:p>
      <w:pPr>
        <w:pStyle w:val="1147"/>
        <w:numPr>
          <w:ilvl w:val="0"/>
          <w:numId w:val="24"/>
        </w:numPr>
        <w:rPr>
          <w:lang w:eastAsia="zh-CN"/>
        </w:rPr>
      </w:pPr>
      <w:r>
        <w:t xml:space="preserve">На списковой форме выделить нужный экземпляр формуляра, нажать кнопку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2740" cy="273050"/>
                <wp:effectExtent l="0" t="0" r="0" b="0"/>
                <wp:docPr id="161" name="Рисунок 68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5"/>
                        <a:stretch/>
                      </pic:blipFill>
                      <pic:spPr bwMode="auto">
                        <a:xfrm>
                          <a:off x="0" y="0"/>
                          <a:ext cx="33274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0" o:spid="_x0000_s160" type="#_x0000_t75" style="mso-wrap-distance-left:0.0pt;mso-wrap-distance-top:0.0pt;mso-wrap-distance-right:0.0pt;mso-wrap-distance-bottom:0.0pt;width:26.2pt;height:21.5pt;" stroked="f">
                <v:path textboxrect="0,0,0,0"/>
                <v:imagedata r:id="rId165" o:title=""/>
              </v:shape>
            </w:pict>
          </mc:Fallback>
        </mc:AlternateContent>
      </w:r>
      <w:r>
        <w:t xml:space="preserve"> (Печать документа). Сформируется экземпляр печатной формы в формате XLS</w:t>
      </w:r>
      <w:r>
        <w:rPr>
          <w:lang w:eastAsia="zh-CN"/>
        </w:rPr>
        <w:t xml:space="preserve">.</w:t>
      </w:r>
      <w:r/>
    </w:p>
    <w:p>
      <w:pPr>
        <w:pStyle w:val="962"/>
        <w:rPr>
          <w:lang w:eastAsia="zh-CN"/>
        </w:rPr>
      </w:pPr>
      <w:r/>
      <w:bookmarkStart w:id="1388" w:name="_Toc20229534"/>
      <w:r/>
      <w:bookmarkStart w:id="1389" w:name="_Toc62446077"/>
      <w:r>
        <w:rPr>
          <w:lang w:eastAsia="zh-CN"/>
        </w:rPr>
        <w:t xml:space="preserve">Формуляр «Заявка на кассовый расход»</w:t>
      </w:r>
      <w:bookmarkEnd w:id="1388"/>
      <w:r/>
      <w:bookmarkEnd w:id="1389"/>
      <w:r/>
      <w:r/>
    </w:p>
    <w:p>
      <w:pPr>
        <w:pStyle w:val="963"/>
        <w:rPr>
          <w:lang w:eastAsia="zh-CN"/>
        </w:rPr>
      </w:pPr>
      <w:r/>
      <w:bookmarkStart w:id="1390" w:name="_Toc20229535"/>
      <w:r/>
      <w:bookmarkStart w:id="1391" w:name="_Toc62446078"/>
      <w:r>
        <w:rPr>
          <w:lang w:eastAsia="zh-CN"/>
        </w:rPr>
        <w:t xml:space="preserve">Отправка на согласование экземпляра формуляра «Заявка на кассовый расход»</w:t>
      </w:r>
      <w:bookmarkEnd w:id="1390"/>
      <w:r/>
      <w:bookmarkEnd w:id="1391"/>
      <w:r/>
      <w:r/>
    </w:p>
    <w:p>
      <w:pPr>
        <w:pStyle w:val="1147"/>
        <w:numPr>
          <w:ilvl w:val="0"/>
          <w:numId w:val="28"/>
        </w:numPr>
        <w:rPr>
          <w:lang w:eastAsia="zh-CN"/>
        </w:rPr>
      </w:pPr>
      <w:r>
        <w:rPr>
          <w:lang w:eastAsia="zh-CN"/>
        </w:rPr>
        <w:t xml:space="preserve">Выбрать подсистему «Управление расходами», на вкладке «Формуляры» развернуть ветку </w:t>
      </w:r>
      <w:r>
        <w:rPr>
          <w:lang w:eastAsia="zh-CN"/>
        </w:rPr>
        <w:t xml:space="preserve">«Все сервисы –</w:t>
      </w:r>
      <w:r>
        <w:rPr>
          <w:lang w:eastAsia="zh-CN"/>
        </w:rPr>
        <w:t xml:space="preserve"> Управление расходами – </w:t>
      </w:r>
      <w:r>
        <w:t xml:space="preserve">Компонент санкционирования расходов: ПБС, ИПБС, АИФ </w:t>
      </w:r>
      <w:r>
        <w:t xml:space="preserve">– </w:t>
      </w:r>
      <w:r>
        <w:t xml:space="preserve">Операции по кассовым выплатам –</w:t>
      </w:r>
      <w:r>
        <w:t xml:space="preserve"> Заявка на кассовый расход (ф.</w:t>
      </w:r>
      <w:r>
        <w:t xml:space="preserve"> </w:t>
      </w:r>
      <w:r>
        <w:t xml:space="preserve">0531801) – Все документы</w:t>
      </w:r>
      <w:r>
        <w:t xml:space="preserve"> (Клиент)</w:t>
      </w:r>
      <w:r>
        <w:rPr>
          <w:lang w:eastAsia="zh-CN"/>
        </w:rPr>
        <w:t xml:space="preserve">»</w:t>
      </w:r>
      <w:r>
        <w:t xml:space="preserve">.</w:t>
      </w:r>
      <w:r/>
    </w:p>
    <w:p>
      <w:pPr>
        <w:pStyle w:val="1147"/>
        <w:rPr>
          <w:lang w:eastAsia="zh-CN"/>
        </w:rPr>
      </w:pPr>
      <w:r>
        <w:rPr>
          <w:lang w:eastAsia="zh-CN"/>
        </w:rPr>
        <w:t xml:space="preserve">На списковой форме выделить нужный экземпляр формуляра и </w:t>
      </w:r>
      <w:r>
        <w:rPr>
          <w:lang w:eastAsia="zh-CN"/>
        </w:rPr>
        <w:t xml:space="preserve">нажать кнопку «</w:t>
      </w:r>
      <w:r>
        <w:rPr>
          <w:lang w:eastAsia="zh-CN"/>
        </w:rPr>
        <w:t xml:space="preserve">Направить на согласование». Документ перейдет на статус «На согласовании».</w:t>
      </w:r>
      <w:r/>
    </w:p>
    <w:p>
      <w:pPr>
        <w:pStyle w:val="963"/>
        <w:rPr>
          <w:lang w:eastAsia="zh-CN"/>
        </w:rPr>
      </w:pPr>
      <w:r/>
      <w:bookmarkStart w:id="1392" w:name="_Toc20229536"/>
      <w:r/>
      <w:bookmarkStart w:id="1393" w:name="_Toc62446079"/>
      <w:r>
        <w:rPr>
          <w:lang w:eastAsia="zh-CN"/>
        </w:rPr>
        <w:t xml:space="preserve">Согласование экземпляра формуляра «Заявка на кассовый расход»</w:t>
      </w:r>
      <w:bookmarkEnd w:id="1392"/>
      <w:r/>
      <w:bookmarkEnd w:id="1393"/>
      <w:r/>
      <w:r/>
    </w:p>
    <w:p>
      <w:pPr>
        <w:pStyle w:val="1147"/>
        <w:numPr>
          <w:ilvl w:val="0"/>
          <w:numId w:val="27"/>
        </w:numPr>
        <w:rPr>
          <w:lang w:eastAsia="zh-CN"/>
        </w:rPr>
      </w:pPr>
      <w:r>
        <w:rPr>
          <w:lang w:eastAsia="zh-CN"/>
        </w:rPr>
        <w:t xml:space="preserve">Выбрать подсистему «</w:t>
      </w:r>
      <w:r>
        <w:rPr>
          <w:lang w:eastAsia="zh-CN"/>
        </w:rPr>
        <w:t xml:space="preserve">Все сервисы – Управление расходами – </w:t>
      </w:r>
      <w:r>
        <w:t xml:space="preserve">Компонент санкционирования расходов: ПБС, ИПБС, АИФ – Операции по кассовым выплатам – Заявка на кассовый расход (ф. 0531801) – Все документы (Клиент)»</w:t>
      </w:r>
      <w:r>
        <w:t xml:space="preserve">.</w:t>
      </w:r>
      <w:r/>
    </w:p>
    <w:p>
      <w:pPr>
        <w:pStyle w:val="1147"/>
        <w:rPr>
          <w:lang w:eastAsia="zh-CN"/>
        </w:rPr>
      </w:pPr>
      <w:r>
        <w:rPr>
          <w:lang w:eastAsia="zh-CN"/>
        </w:rPr>
        <w:t xml:space="preserve">Выделить курсором </w:t>
      </w:r>
      <w:r>
        <w:rPr>
          <w:lang w:eastAsia="zh-CN"/>
        </w:rPr>
        <w:tab/>
        <w:t xml:space="preserve">необходимый экземпляр формуляра на статусе «На согласовании» и нажать </w:t>
      </w:r>
      <w:r>
        <w:rPr>
          <w:lang w:eastAsia="zh-CN"/>
        </w:rPr>
        <w:t xml:space="preserve">кнопку «</w:t>
      </w:r>
      <w:r>
        <w:rPr>
          <w:lang w:eastAsia="zh-CN"/>
        </w:rPr>
        <w:t xml:space="preserve">Согласовать». Документ перейдет на статус «На утверждении».</w:t>
      </w:r>
      <w:r/>
    </w:p>
    <w:p>
      <w:pPr>
        <w:pStyle w:val="963"/>
        <w:rPr>
          <w:lang w:eastAsia="zh-CN"/>
        </w:rPr>
      </w:pPr>
      <w:r/>
      <w:bookmarkStart w:id="1394" w:name="_Toc20229537"/>
      <w:r/>
      <w:bookmarkStart w:id="1395" w:name="_Toc62446080"/>
      <w:r>
        <w:rPr>
          <w:lang w:eastAsia="zh-CN"/>
        </w:rPr>
        <w:t xml:space="preserve">Утверждение экземпляра формуляра «Заявка на кассовый расход»</w:t>
      </w:r>
      <w:bookmarkEnd w:id="1394"/>
      <w:r/>
      <w:bookmarkEnd w:id="1395"/>
      <w:r/>
      <w:r/>
    </w:p>
    <w:p>
      <w:pPr>
        <w:pStyle w:val="1147"/>
        <w:numPr>
          <w:ilvl w:val="0"/>
          <w:numId w:val="29"/>
        </w:numPr>
        <w:rPr>
          <w:lang w:eastAsia="zh-CN"/>
        </w:rPr>
      </w:pPr>
      <w:r>
        <w:rPr>
          <w:lang w:eastAsia="zh-CN"/>
        </w:rPr>
        <w:t xml:space="preserve">Выбрать подсистему «</w:t>
      </w:r>
      <w:r>
        <w:rPr>
          <w:lang w:eastAsia="zh-CN"/>
        </w:rPr>
        <w:t xml:space="preserve">Все сервисы – Управление расходами – </w:t>
      </w:r>
      <w:r>
        <w:t xml:space="preserve">Компонент санкционирования расходов: ПБС, ИПБС, АИФ – Операции по кассовым выплатам – Заявка на кассовый расход (ф. 0531801) – Все документы (Клиент)»</w:t>
      </w:r>
      <w:r>
        <w:t xml:space="preserve">.</w:t>
      </w:r>
      <w:r/>
    </w:p>
    <w:p>
      <w:pPr>
        <w:pStyle w:val="1147"/>
        <w:rPr>
          <w:lang w:eastAsia="zh-CN"/>
        </w:rPr>
      </w:pPr>
      <w:r>
        <w:rPr>
          <w:lang w:eastAsia="zh-CN"/>
        </w:rPr>
        <w:t xml:space="preserve">Выделить курсором </w:t>
      </w:r>
      <w:r>
        <w:rPr>
          <w:lang w:eastAsia="zh-CN"/>
        </w:rPr>
        <w:tab/>
        <w:t xml:space="preserve">необходимый экземпляр формуляра на статусе «На утверждении» и нажать </w:t>
      </w:r>
      <w:r>
        <w:rPr>
          <w:lang w:eastAsia="zh-CN"/>
        </w:rPr>
        <w:t xml:space="preserve">кнопку «</w:t>
      </w:r>
      <w:r>
        <w:rPr>
          <w:lang w:eastAsia="zh-CN"/>
        </w:rPr>
        <w:t xml:space="preserve">Утвердить». Документ перейдет на статус «Утвержден» и станет доступен пользователям ФК.</w:t>
      </w:r>
      <w:r/>
    </w:p>
    <w:p>
      <w:pPr>
        <w:pStyle w:val="962"/>
        <w:ind w:left="851" w:hanging="851"/>
        <w:tabs>
          <w:tab w:val="clear" w:pos="576" w:leader="none"/>
        </w:tabs>
      </w:pPr>
      <w:r/>
      <w:bookmarkStart w:id="1396" w:name="_Toc38540006"/>
      <w:r/>
      <w:bookmarkStart w:id="1397" w:name="_Toc62446081"/>
      <w:r>
        <w:t xml:space="preserve">Контроль сроков обработки документов</w:t>
      </w:r>
      <w:bookmarkEnd w:id="1396"/>
      <w:r/>
      <w:bookmarkEnd w:id="1397"/>
      <w:r/>
      <w:r/>
    </w:p>
    <w:p>
      <w:pPr>
        <w:pStyle w:val="985"/>
      </w:pPr>
      <w:r>
        <w:t xml:space="preserve">В ПУР ЭБ осуществляется возможность контроля сроков обработки документов с помощью справочника «Контрольные сроки обработки документов в ПУР ЭБ».</w:t>
      </w:r>
      <w:r/>
    </w:p>
    <w:p>
      <w:pPr>
        <w:pStyle w:val="985"/>
      </w:pPr>
      <w:r>
        <w:t xml:space="preserve">Контроль определяет конкретную дату окончания срока обработки документа, установленную НПА, или количество рабочих дней, требующихся для обработки документа пользователем.</w:t>
      </w:r>
      <w:r/>
    </w:p>
    <w:p>
      <w:pPr>
        <w:pStyle w:val="985"/>
      </w:pPr>
      <w:r>
        <w:t xml:space="preserve">Контрольный срок определяется на списковой форме документа в колонке «Срок обработки документа по НПА (Клиент)», а фактический срок – в колонке «Факт соблюдения срока (Клиент)».</w:t>
      </w:r>
      <w:r/>
    </w:p>
    <w:p>
      <w:pPr>
        <w:pStyle w:val="985"/>
      </w:pPr>
      <w:r>
        <w:t xml:space="preserve">При этом для поля «Сро</w:t>
      </w:r>
      <w:r>
        <w:t xml:space="preserve">к обработки документа по НПА (Клиент)» осуществляется подсветка красным цветом, в случае если соответственно поле «Факт соблюдения срока (Клиент)» заполнено значением «Пусто» и значение поля «Срок обработки документа по НПА (Клиент)» меньше системной даты.</w:t>
      </w:r>
      <w:r/>
    </w:p>
    <w:p>
      <w:pPr>
        <w:pStyle w:val="985"/>
      </w:pPr>
      <w:r>
        <w:t xml:space="preserve">Для поля «Факт соблюдения срока (Клиент)» осуществляется подсветка красным цветом, в случае если соответственно поле «Факт соблюдения срока (Клиент)» заполнено значением «Нарушен».</w:t>
      </w:r>
      <w:r/>
    </w:p>
    <w:p>
      <w:pPr>
        <w:pStyle w:val="985"/>
      </w:pPr>
      <w:r>
        <w:t xml:space="preserve">Данные колонки по умолчанию не отображаются на СФ. Чтобы включить их отображение, необходимо выполнить действия, описанные в п. </w:t>
      </w:r>
      <w:r>
        <w:fldChar w:fldCharType="begin"/>
      </w:r>
      <w:r>
        <w:instrText xml:space="preserve"> REF _Ref38548331 \n \h </w:instrText>
      </w:r>
      <w:r>
        <w:fldChar w:fldCharType="separate"/>
      </w:r>
      <w:r>
        <w:t xml:space="preserve">5.2.1</w:t>
      </w:r>
      <w:r>
        <w:fldChar w:fldCharType="end"/>
      </w:r>
      <w:r>
        <w:t xml:space="preserve">. </w:t>
      </w:r>
      <w:r/>
    </w:p>
    <w:p>
      <w:pPr>
        <w:pStyle w:val="962"/>
      </w:pPr>
      <w:r/>
      <w:bookmarkStart w:id="1398" w:name="_Toc48140934"/>
      <w:r/>
      <w:bookmarkStart w:id="1399" w:name="_Toc62446082"/>
      <w:r>
        <w:t xml:space="preserve">Просмотр электронной подписи документа</w:t>
      </w:r>
      <w:bookmarkEnd w:id="1398"/>
      <w:r/>
      <w:bookmarkEnd w:id="1399"/>
      <w:r/>
      <w:r/>
    </w:p>
    <w:p>
      <w:pPr>
        <w:pStyle w:val="985"/>
      </w:pPr>
      <w:r>
        <w:t xml:space="preserve">Описание функциональности по визуальному отображению электронного документа, </w:t>
      </w:r>
      <w:r>
        <w:t xml:space="preserve">подписанного электронной подписью, включая визуализацию данной электронной подписи, содержащую информацию о подписании документа электронной подписью, а также о номере, владельце и периоде действия сертификата ключа проверки электронной подписи, приведено </w:t>
      </w:r>
      <w:r>
        <w:t xml:space="preserve">в документе «Руководство работников (представителей) участников системы «Электронный бюджет» по работе с подсистемой (компонентом, модулем)» на ПОИ. Указанный функционал реализован средствами ПОИ для всех функциональных подсистем ГИИС «Электронный бюджет».</w:t>
      </w:r>
      <w:r/>
    </w:p>
    <w:p>
      <w:pPr>
        <w:pStyle w:val="962"/>
      </w:pPr>
      <w:r/>
      <w:bookmarkStart w:id="1400" w:name="_Toc59137013"/>
      <w:r/>
      <w:bookmarkStart w:id="1401" w:name="_Toc59701426"/>
      <w:r/>
      <w:bookmarkStart w:id="1402" w:name="_Toc62446083"/>
      <w:r>
        <w:t xml:space="preserve">Описание функциональности для обмена пользовательскими информационными сообщениями</w:t>
      </w:r>
      <w:bookmarkEnd w:id="1400"/>
      <w:r/>
      <w:bookmarkEnd w:id="1401"/>
      <w:r/>
      <w:bookmarkEnd w:id="1402"/>
      <w:r/>
      <w:r/>
    </w:p>
    <w:p>
      <w:pPr>
        <w:pStyle w:val="985"/>
      </w:pPr>
      <w:r>
        <w:t xml:space="preserve">Описание функционал</w:t>
      </w:r>
      <w:r>
        <w:t xml:space="preserve">ьности для обмена пользовательскими информационными сообщениями представлено в документе «Руководство работников (представителей) участников системы «Электронный бюджет» по работе с модулем учета операций на лицевых счетах подсистемы управления расходами».</w:t>
      </w:r>
      <w:r/>
    </w:p>
    <w:p>
      <w:pPr>
        <w:pStyle w:val="961"/>
        <w:rPr>
          <w:rFonts w:ascii="Times New Roman Полужирный" w:hAnsi="Times New Roman Полужирный"/>
        </w:rPr>
      </w:pPr>
      <w:r/>
      <w:bookmarkStart w:id="1403" w:name="_Ref491279793"/>
      <w:r/>
      <w:bookmarkStart w:id="1404" w:name="_Ref495640620"/>
      <w:r/>
      <w:bookmarkStart w:id="1405" w:name="_Toc20229538"/>
      <w:r/>
      <w:bookmarkStart w:id="1406" w:name="_Toc62446084"/>
      <w:r>
        <w:rPr>
          <w:rFonts w:ascii="Times New Roman Полужирный" w:hAnsi="Times New Roman Полужирный"/>
        </w:rPr>
        <w:t xml:space="preserve">Описание </w:t>
      </w:r>
      <w:bookmarkEnd w:id="1403"/>
      <w:r>
        <w:rPr>
          <w:rFonts w:ascii="Times New Roman Полужирный" w:hAnsi="Times New Roman Полужирный"/>
        </w:rPr>
        <w:t xml:space="preserve">действий работника в случае аварийных ситуаций</w:t>
      </w:r>
      <w:bookmarkEnd w:id="1404"/>
      <w:r/>
      <w:bookmarkEnd w:id="1405"/>
      <w:r/>
      <w:bookmarkEnd w:id="1406"/>
      <w:r/>
      <w:r/>
    </w:p>
    <w:p>
      <w:pPr>
        <w:pStyle w:val="985"/>
      </w:pPr>
      <w:r>
        <w:t xml:space="preserve">С целью оперативного уведомления службы сопровождения о возникающих сбоях и инцидентах в работе сист</w:t>
      </w:r>
      <w:r>
        <w:t xml:space="preserve">емы используется функция отправки пользователем сообщения о возникшей проблеме в систему управления эксплуатации ФК. На основании полученного сообщения о нештатном функционировании системы СУЭ автоматически зарегистрирует инцидент в системе учета. Доставка</w:t>
      </w:r>
      <w:r>
        <w:t xml:space="preserve"> сообщения в СУЭ осуществляется по протоколу электронной почты SMTP. Адрес электронной почты получателя сообщения о проблеме указывается в настройках системы, доступных администратору портала. Тема электронного письма будет содержать следующий текст: «[EB </w:t>
      </w:r>
      <w:r>
        <w:rPr>
          <w:lang w:val="en-US"/>
        </w:rPr>
        <w:t xml:space="preserve">Portal</w:t>
      </w:r>
      <w:r>
        <w:t xml:space="preserve">] Личный кабинет ЭБ – Постановка на сопровождение».</w:t>
      </w:r>
      <w:r/>
    </w:p>
    <w:p>
      <w:pPr>
        <w:pStyle w:val="985"/>
      </w:pPr>
      <w:r>
        <w:t xml:space="preserve">Функция отправки сообщения о возникшей проблеме доступна авторизованным пользователям личного кабинета вне зависимости от текущего </w:t>
      </w:r>
      <w:r>
        <w:rPr>
          <w:rStyle w:val="1220"/>
        </w:rPr>
        <w:t xml:space="preserve">портлета</w:t>
      </w:r>
      <w:r>
        <w:t xml:space="preserve">, страницы портала или подсистемы, в которой работает пользователь. Инициация формирования производится по выбору пользователем соответствующего пункта меню (ссылки) или нажатием сочетания «горячих» клавиш (рис</w:t>
      </w:r>
      <w:r>
        <w:t xml:space="preserve">. </w:t>
      </w:r>
      <w:r>
        <w:fldChar w:fldCharType="begin"/>
      </w:r>
      <w:r>
        <w:instrText xml:space="preserve"> REF _Ref486927133 \h </w:instrText>
      </w:r>
      <w:r>
        <w:fldChar w:fldCharType="separate"/>
      </w:r>
      <w:r>
        <w:t xml:space="preserve">99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46960" cy="922020"/>
                <wp:effectExtent l="19050" t="0" r="0" b="0"/>
                <wp:docPr id="162" name="Рисунок 25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6"/>
                        <a:stretch/>
                      </pic:blipFill>
                      <pic:spPr bwMode="auto">
                        <a:xfrm>
                          <a:off x="0" y="0"/>
                          <a:ext cx="2346960" cy="922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1" o:spid="_x0000_s161" type="#_x0000_t75" style="mso-wrap-distance-left:0.0pt;mso-wrap-distance-top:0.0pt;mso-wrap-distance-right:0.0pt;mso-wrap-distance-bottom:0.0pt;width:184.8pt;height:72.6pt;" stroked="f" strokeweight="0.75pt">
                <v:path textboxrect="0,0,0,0"/>
                <v:imagedata r:id="rId166" o:title=""/>
              </v:shape>
            </w:pict>
          </mc:Fallback>
        </mc:AlternateContent>
      </w:r>
      <w:r/>
    </w:p>
    <w:p>
      <w:pPr>
        <w:pStyle w:val="974"/>
      </w:pPr>
      <w:r/>
      <w:bookmarkStart w:id="1407" w:name="_Ref486927133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408" w:name="_Toc20229643"/>
      <w:r/>
      <w:bookmarkStart w:id="1409" w:name="_Toc59804554"/>
      <w:r>
        <w:t xml:space="preserve">99</w:t>
      </w:r>
      <w:r>
        <w:fldChar w:fldCharType="end"/>
      </w:r>
      <w:bookmarkEnd w:id="1407"/>
      <w:r>
        <w:t xml:space="preserve">. Горячие </w:t>
      </w:r>
      <w:r>
        <w:rPr>
          <w:szCs w:val="28"/>
        </w:rPr>
        <w:t xml:space="preserve">клавиши</w:t>
      </w:r>
      <w:bookmarkEnd w:id="1408"/>
      <w:r/>
      <w:bookmarkEnd w:id="1409"/>
      <w:r/>
      <w:r/>
    </w:p>
    <w:p>
      <w:pPr>
        <w:pStyle w:val="985"/>
      </w:pPr>
      <w:r>
        <w:t xml:space="preserve">В результате указанных действий пользователя открывается форма сообщения (рис</w:t>
      </w:r>
      <w:r>
        <w:t xml:space="preserve">.</w:t>
      </w:r>
      <w:r>
        <w:t xml:space="preserve"> </w:t>
      </w:r>
      <w:r>
        <w:fldChar w:fldCharType="begin"/>
      </w:r>
      <w:r>
        <w:instrText xml:space="preserve"> REF _Ref486927143 \h </w:instrText>
      </w:r>
      <w:r>
        <w:fldChar w:fldCharType="separate"/>
      </w:r>
      <w:r>
        <w:t xml:space="preserve">100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67125" cy="3495675"/>
                <wp:effectExtent l="19050" t="0" r="9525" b="0"/>
                <wp:docPr id="163" name="Рисунок 74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4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7"/>
                        <a:stretch/>
                      </pic:blipFill>
                      <pic:spPr bwMode="auto">
                        <a:xfrm>
                          <a:off x="0" y="0"/>
                          <a:ext cx="3667125" cy="349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2" o:spid="_x0000_s162" type="#_x0000_t75" style="mso-wrap-distance-left:0.0pt;mso-wrap-distance-top:0.0pt;mso-wrap-distance-right:0.0pt;mso-wrap-distance-bottom:0.0pt;width:288.8pt;height:275.2pt;" stroked="f" strokeweight="0.75pt">
                <v:path textboxrect="0,0,0,0"/>
                <v:imagedata r:id="rId167" o:title=""/>
              </v:shape>
            </w:pict>
          </mc:Fallback>
        </mc:AlternateContent>
      </w:r>
      <w:r/>
    </w:p>
    <w:p>
      <w:pPr>
        <w:pStyle w:val="974"/>
      </w:pPr>
      <w:r/>
      <w:bookmarkStart w:id="1410" w:name="_Ref486927143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411" w:name="_Toc20229644"/>
      <w:r/>
      <w:bookmarkStart w:id="1412" w:name="_Toc59804555"/>
      <w:r>
        <w:t xml:space="preserve">100</w:t>
      </w:r>
      <w:r>
        <w:fldChar w:fldCharType="end"/>
      </w:r>
      <w:bookmarkEnd w:id="1410"/>
      <w:r>
        <w:t xml:space="preserve">. Форма сообщения о проблеме</w:t>
      </w:r>
      <w:bookmarkEnd w:id="1411"/>
      <w:r/>
      <w:bookmarkEnd w:id="1412"/>
      <w:r/>
      <w:r/>
    </w:p>
    <w:p>
      <w:pPr>
        <w:pStyle w:val="986"/>
      </w:pPr>
      <w:r>
        <w:t xml:space="preserve">Форма содержит следующие текстовые поля ввода, доступные пользователю для редактирования:</w:t>
      </w:r>
      <w:r/>
    </w:p>
    <w:p>
      <w:pPr>
        <w:pStyle w:val="976"/>
      </w:pPr>
      <w:r>
        <w:t xml:space="preserve">комментарий пользователя; </w:t>
      </w:r>
      <w:r/>
    </w:p>
    <w:p>
      <w:pPr>
        <w:pStyle w:val="976"/>
      </w:pPr>
      <w:r>
        <w:t xml:space="preserve">телефон пользователя;</w:t>
      </w:r>
      <w:r/>
    </w:p>
    <w:p>
      <w:pPr>
        <w:pStyle w:val="976"/>
      </w:pPr>
      <w:r>
        <w:t xml:space="preserve">адрес электронной почты.</w:t>
      </w:r>
      <w:r/>
    </w:p>
    <w:p>
      <w:pPr>
        <w:pStyle w:val="986"/>
      </w:pPr>
      <w:r>
        <w:t xml:space="preserve">Кроме данных, заполненных пользователем, сообщение будет содержать следующие автоматически заполняемые сведения:</w:t>
      </w:r>
      <w:r/>
    </w:p>
    <w:p>
      <w:pPr>
        <w:pStyle w:val="976"/>
      </w:pPr>
      <w:r>
        <w:t xml:space="preserve">снимок экрана пользователя, сделанный в момент инициации функции отправки сообщения о возникшей проблеме;</w:t>
      </w:r>
      <w:r/>
    </w:p>
    <w:p>
      <w:pPr>
        <w:pStyle w:val="976"/>
      </w:pPr>
      <w:r>
        <w:t xml:space="preserve">адрес текущей рабочей страницы (</w:t>
      </w:r>
      <w:r>
        <w:rPr>
          <w:rStyle w:val="1220"/>
          <w:lang w:val="en-US"/>
        </w:rPr>
        <w:t xml:space="preserve">url</w:t>
      </w:r>
      <w:r>
        <w:t xml:space="preserve">), с которой был вызв</w:t>
      </w:r>
      <w:r>
        <w:t xml:space="preserve">ан сервис «Сообщить о проблеме»;</w:t>
      </w:r>
      <w:r/>
    </w:p>
    <w:p>
      <w:pPr>
        <w:pStyle w:val="976"/>
      </w:pPr>
      <w:r>
        <w:t xml:space="preserve">наименование и версия браузера пользователя;</w:t>
      </w:r>
      <w:r/>
    </w:p>
    <w:p>
      <w:pPr>
        <w:pStyle w:val="976"/>
      </w:pPr>
      <w:r>
        <w:t xml:space="preserve">операционная система пользователя;</w:t>
      </w:r>
      <w:r/>
    </w:p>
    <w:p>
      <w:pPr>
        <w:pStyle w:val="976"/>
      </w:pPr>
      <w:r>
        <w:t xml:space="preserve">версия </w:t>
      </w:r>
      <w:r>
        <w:rPr>
          <w:lang w:val="en-US"/>
        </w:rPr>
        <w:t xml:space="preserve">java</w:t>
      </w:r>
      <w:r>
        <w:t xml:space="preserve">;</w:t>
      </w:r>
      <w:r/>
    </w:p>
    <w:p>
      <w:pPr>
        <w:pStyle w:val="976"/>
      </w:pPr>
      <w:r>
        <w:t xml:space="preserve">версия </w:t>
      </w:r>
      <w:r>
        <w:rPr>
          <w:rStyle w:val="1220"/>
        </w:rPr>
        <w:t xml:space="preserve">КриптоПРО</w:t>
      </w:r>
      <w:r>
        <w:t xml:space="preserve">;</w:t>
      </w:r>
      <w:r/>
    </w:p>
    <w:p>
      <w:pPr>
        <w:pStyle w:val="976"/>
      </w:pPr>
      <w:r>
        <w:t xml:space="preserve">информация о СPU;</w:t>
      </w:r>
      <w:r/>
    </w:p>
    <w:p>
      <w:pPr>
        <w:pStyle w:val="976"/>
      </w:pPr>
      <w:r>
        <w:t xml:space="preserve">количество оперативной памяти;</w:t>
      </w:r>
      <w:r/>
    </w:p>
    <w:p>
      <w:pPr>
        <w:pStyle w:val="976"/>
      </w:pPr>
      <w:r>
        <w:t xml:space="preserve">количест</w:t>
      </w:r>
      <w:r>
        <w:t xml:space="preserve">во свободной оперативной памяти;</w:t>
      </w:r>
      <w:r/>
    </w:p>
    <w:p>
      <w:pPr>
        <w:pStyle w:val="976"/>
      </w:pPr>
      <w:r>
        <w:t xml:space="preserve">сведения о пользователе:</w:t>
      </w:r>
      <w:r/>
    </w:p>
    <w:p>
      <w:pPr>
        <w:pStyle w:val="977"/>
      </w:pPr>
      <w:r>
        <w:t xml:space="preserve">ФИО;</w:t>
      </w:r>
      <w:r/>
    </w:p>
    <w:p>
      <w:pPr>
        <w:pStyle w:val="977"/>
      </w:pPr>
      <w:r>
        <w:t xml:space="preserve">о</w:t>
      </w:r>
      <w:r>
        <w:t xml:space="preserve">рганизация;</w:t>
      </w:r>
      <w:r/>
    </w:p>
    <w:p>
      <w:pPr>
        <w:pStyle w:val="977"/>
      </w:pPr>
      <w:r>
        <w:t xml:space="preserve">подразделение;</w:t>
      </w:r>
      <w:r/>
    </w:p>
    <w:p>
      <w:pPr>
        <w:pStyle w:val="977"/>
      </w:pPr>
      <w:r>
        <w:t xml:space="preserve">должность;</w:t>
      </w:r>
      <w:r/>
    </w:p>
    <w:p>
      <w:pPr>
        <w:pStyle w:val="977"/>
      </w:pPr>
      <w:r>
        <w:t xml:space="preserve">полномочия;</w:t>
      </w:r>
      <w:r/>
    </w:p>
    <w:p>
      <w:pPr>
        <w:pStyle w:val="976"/>
      </w:pPr>
      <w:r>
        <w:t xml:space="preserve">сведения об организации:</w:t>
      </w:r>
      <w:r/>
    </w:p>
    <w:p>
      <w:pPr>
        <w:pStyle w:val="977"/>
      </w:pPr>
      <w:r>
        <w:t xml:space="preserve">ИНН;</w:t>
      </w:r>
      <w:r/>
    </w:p>
    <w:p>
      <w:pPr>
        <w:pStyle w:val="977"/>
      </w:pPr>
      <w:r>
        <w:t xml:space="preserve">КПП;</w:t>
      </w:r>
      <w:r/>
    </w:p>
    <w:p>
      <w:pPr>
        <w:pStyle w:val="977"/>
      </w:pPr>
      <w:r>
        <w:t xml:space="preserve">ОГРН;</w:t>
      </w:r>
      <w:r/>
    </w:p>
    <w:p>
      <w:pPr>
        <w:pStyle w:val="977"/>
      </w:pPr>
      <w:r>
        <w:t xml:space="preserve">к</w:t>
      </w:r>
      <w:r>
        <w:t xml:space="preserve">од ТОФК;</w:t>
      </w:r>
      <w:r/>
    </w:p>
    <w:p>
      <w:pPr>
        <w:pStyle w:val="977"/>
      </w:pPr>
      <w:r>
        <w:t xml:space="preserve">к</w:t>
      </w:r>
      <w:r>
        <w:t xml:space="preserve">од по СПЗ;</w:t>
      </w:r>
      <w:r/>
    </w:p>
    <w:p>
      <w:pPr>
        <w:pStyle w:val="977"/>
      </w:pPr>
      <w:r>
        <w:t xml:space="preserve">e-</w:t>
      </w:r>
      <w:r>
        <w:rPr>
          <w:lang w:val="en-US"/>
        </w:rPr>
        <w:t xml:space="preserve">mail</w:t>
      </w:r>
      <w:r>
        <w:t xml:space="preserve"> организации;</w:t>
      </w:r>
      <w:r/>
    </w:p>
    <w:p>
      <w:pPr>
        <w:pStyle w:val="977"/>
      </w:pPr>
      <w:r>
        <w:t xml:space="preserve">телефон организации.</w:t>
      </w:r>
      <w:r/>
    </w:p>
    <w:p>
      <w:pPr>
        <w:pStyle w:val="985"/>
      </w:pPr>
      <w:r>
        <w:t xml:space="preserve">В случае нажатия на ссылку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57400" cy="257175"/>
                <wp:effectExtent l="19050" t="0" r="0" b="0"/>
                <wp:docPr id="164" name="Рисунок 17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6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8"/>
                        <a:stretch/>
                      </pic:blipFill>
                      <pic:spPr bwMode="auto">
                        <a:xfrm>
                          <a:off x="0" y="0"/>
                          <a:ext cx="20574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3" o:spid="_x0000_s163" type="#_x0000_t75" style="mso-wrap-distance-left:0.0pt;mso-wrap-distance-top:0.0pt;mso-wrap-distance-right:0.0pt;mso-wrap-distance-bottom:0.0pt;width:162.0pt;height:20.2pt;" stroked="f" strokeweight="0.75pt">
                <v:path textboxrect="0,0,0,0"/>
                <v:imagedata r:id="rId168" o:title=""/>
              </v:shape>
            </w:pict>
          </mc:Fallback>
        </mc:AlternateContent>
      </w:r>
      <w:r>
        <w:t xml:space="preserve"> возможно возникновение информационного сообщения, представленного на рисунке </w:t>
      </w:r>
      <w:r>
        <w:fldChar w:fldCharType="begin"/>
      </w:r>
      <w:r>
        <w:instrText xml:space="preserve"> REF _Ref486927253 \h </w:instrText>
      </w:r>
      <w:r>
        <w:fldChar w:fldCharType="separate"/>
      </w:r>
      <w:r>
        <w:t xml:space="preserve">101</w:t>
      </w:r>
      <w:r>
        <w:fldChar w:fldCharType="end"/>
      </w:r>
      <w:r>
        <w:t xml:space="preserve">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10075" cy="1666875"/>
                <wp:effectExtent l="19050" t="0" r="9525" b="0"/>
                <wp:docPr id="165" name="Рисунок 177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7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9"/>
                        <a:stretch/>
                      </pic:blipFill>
                      <pic:spPr bwMode="auto">
                        <a:xfrm>
                          <a:off x="0" y="0"/>
                          <a:ext cx="4410075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4" o:spid="_x0000_s164" type="#_x0000_t75" style="mso-wrap-distance-left:0.0pt;mso-wrap-distance-top:0.0pt;mso-wrap-distance-right:0.0pt;mso-wrap-distance-bottom:0.0pt;width:347.2pt;height:131.2pt;" stroked="f" strokeweight="0.75pt">
                <v:path textboxrect="0,0,0,0"/>
                <v:imagedata r:id="rId169" o:title=""/>
              </v:shape>
            </w:pict>
          </mc:Fallback>
        </mc:AlternateContent>
      </w:r>
      <w:r/>
    </w:p>
    <w:p>
      <w:pPr>
        <w:pStyle w:val="974"/>
      </w:pPr>
      <w:r/>
      <w:bookmarkStart w:id="1413" w:name="_Ref486927253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414" w:name="_Toc20229645"/>
      <w:r/>
      <w:bookmarkStart w:id="1415" w:name="_Toc59804556"/>
      <w:r>
        <w:t xml:space="preserve">101</w:t>
      </w:r>
      <w:r>
        <w:fldChar w:fldCharType="end"/>
      </w:r>
      <w:bookmarkEnd w:id="1413"/>
      <w:r>
        <w:t xml:space="preserve">. Информационное сообщение</w:t>
      </w:r>
      <w:bookmarkEnd w:id="1414"/>
      <w:r/>
      <w:bookmarkEnd w:id="1415"/>
      <w:r/>
      <w:r/>
    </w:p>
    <w:p>
      <w:pPr>
        <w:pStyle w:val="987"/>
      </w:pPr>
      <w:r>
        <w:rPr>
          <w:rStyle w:val="992"/>
        </w:rPr>
        <w:t xml:space="preserve">Примечание.</w:t>
      </w:r>
      <w:r>
        <w:tab/>
        <w:t xml:space="preserve">Минимальная версия </w:t>
      </w:r>
      <w:r>
        <w:rPr>
          <w:lang w:val="en-US"/>
        </w:rPr>
        <w:t xml:space="preserve">Java</w:t>
      </w:r>
      <w:r>
        <w:t xml:space="preserve"> </w:t>
      </w:r>
      <w:r>
        <w:rPr>
          <w:lang w:val="en-US"/>
        </w:rPr>
        <w:t xml:space="preserve">Virtual</w:t>
      </w:r>
      <w:r>
        <w:t xml:space="preserve"> </w:t>
      </w:r>
      <w:r>
        <w:rPr>
          <w:lang w:val="en-US"/>
        </w:rPr>
        <w:t xml:space="preserve">Machine</w:t>
      </w:r>
      <w:r>
        <w:t xml:space="preserve"> (JVM) для установки на клиенте – 1.7.0_07.</w:t>
      </w:r>
      <w:r/>
    </w:p>
    <w:p>
      <w:pPr>
        <w:pStyle w:val="985"/>
      </w:pPr>
      <w:r>
        <w:t xml:space="preserve">Для продолжения работы необходимо нажать </w:t>
      </w:r>
      <w:r>
        <w:t xml:space="preserve">кнопку «</w:t>
      </w:r>
      <w:r>
        <w:t xml:space="preserve">ОК». В результате откроется страница, содержащая обновление для JVM (</w:t>
      </w:r>
      <w:r>
        <w:t xml:space="preserve">рис. </w:t>
      </w:r>
      <w:r>
        <w:fldChar w:fldCharType="begin"/>
      </w:r>
      <w:r>
        <w:instrText xml:space="preserve"> REF _Ref486927373 \h </w:instrText>
      </w:r>
      <w:r>
        <w:fldChar w:fldCharType="separate"/>
      </w:r>
      <w:r>
        <w:t xml:space="preserve">102</w:t>
      </w:r>
      <w:r>
        <w:fldChar w:fldCharType="end"/>
      </w:r>
      <w:r>
        <w:t xml:space="preserve">). Выполнить стандартные действия по установке обновления программного обеспечения.</w:t>
      </w:r>
      <w:r/>
    </w:p>
    <w:p>
      <w:pPr>
        <w:pStyle w:val="985"/>
      </w:pPr>
      <w:r>
        <w:t xml:space="preserve">В случае если версия JVM, установленная на рабочей станции пользователя, не ниже требуемой, то в информационном сообщении необходимо нажать </w:t>
      </w:r>
      <w:r>
        <w:t xml:space="preserve">кнопку «</w:t>
      </w:r>
      <w:r>
        <w:t xml:space="preserve">Отмена». В результате откроется форма сообщения (см. </w:t>
      </w:r>
      <w:r>
        <w:t xml:space="preserve">рис. </w:t>
      </w:r>
      <w:r>
        <w:fldChar w:fldCharType="begin"/>
      </w:r>
      <w:r>
        <w:instrText xml:space="preserve"> REF _Ref486927143 \h  \* MERGEFORMAT </w:instrText>
      </w:r>
      <w:r>
        <w:fldChar w:fldCharType="separate"/>
      </w:r>
      <w:r>
        <w:t xml:space="preserve">100</w:t>
      </w:r>
      <w:r>
        <w:fldChar w:fldCharType="end"/>
      </w:r>
      <w:r>
        <w:t xml:space="preserve">).</w:t>
      </w:r>
      <w:r/>
    </w:p>
    <w:p>
      <w:pPr>
        <w:pStyle w:val="97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5629275"/>
                <wp:effectExtent l="19050" t="0" r="0" b="0"/>
                <wp:docPr id="166" name="Рисунок 178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8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0"/>
                        <a:stretch/>
                      </pic:blipFill>
                      <pic:spPr bwMode="auto">
                        <a:xfrm>
                          <a:off x="0" y="0"/>
                          <a:ext cx="6115050" cy="5629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5" o:spid="_x0000_s165" type="#_x0000_t75" style="mso-wrap-distance-left:0.0pt;mso-wrap-distance-top:0.0pt;mso-wrap-distance-right:0.0pt;mso-wrap-distance-bottom:0.0pt;width:481.5pt;height:443.2pt;" stroked="f" strokeweight="0.75pt">
                <v:path textboxrect="0,0,0,0"/>
                <v:imagedata r:id="rId170" o:title=""/>
              </v:shape>
            </w:pict>
          </mc:Fallback>
        </mc:AlternateContent>
      </w:r>
      <w:r/>
    </w:p>
    <w:p>
      <w:pPr>
        <w:pStyle w:val="974"/>
      </w:pPr>
      <w:r/>
      <w:bookmarkStart w:id="1416" w:name="_Ref486927373"/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417" w:name="_Toc20229646"/>
      <w:r/>
      <w:bookmarkStart w:id="1418" w:name="_Toc59804557"/>
      <w:r>
        <w:t xml:space="preserve">102</w:t>
      </w:r>
      <w:r>
        <w:fldChar w:fldCharType="end"/>
      </w:r>
      <w:bookmarkEnd w:id="1416"/>
      <w:r>
        <w:t xml:space="preserve">. Страница JAVA</w:t>
      </w:r>
      <w:bookmarkEnd w:id="1417"/>
      <w:r/>
      <w:bookmarkEnd w:id="1418"/>
      <w:r/>
      <w:r/>
    </w:p>
    <w:p>
      <w:pPr>
        <w:pStyle w:val="989"/>
      </w:pPr>
      <w:r/>
      <w:bookmarkStart w:id="1419" w:name="_Toc62446085"/>
      <w:r/>
      <w:bookmarkStart w:id="1420" w:name="_Toc150758397"/>
      <w:r/>
      <w:bookmarkStart w:id="1421" w:name="_Toc154485450"/>
      <w:r/>
      <w:bookmarkStart w:id="1422" w:name="_Toc182196514"/>
      <w:r>
        <w:t xml:space="preserve">СОСТАВИЛИ</w:t>
      </w:r>
      <w:bookmarkEnd w:id="141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2038"/>
        <w:gridCol w:w="2414"/>
        <w:gridCol w:w="2330"/>
        <w:gridCol w:w="1369"/>
        <w:gridCol w:w="1543"/>
      </w:tblGrid>
      <w:tr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1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Наименование организации, предприятия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5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Должность исполнителя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2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Фамилия, имя, отчество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6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Подпись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6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Дата</w:t>
            </w:r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>
              <w:t xml:space="preserve">ООО «ОТР 2000»</w:t>
            </w:r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>
              <w:t xml:space="preserve">Заместитель начальника отдела</w:t>
            </w:r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>
              <w:t xml:space="preserve">Иванова О. С.</w:t>
            </w:r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>
              <w:t xml:space="preserve">17.10.2017</w:t>
            </w:r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>
          <w:trHeight w:val="20"/>
        </w:trPr>
        <w:tc>
          <w:tcPr>
            <w:tcW w:w="1051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5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0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0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9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</w:tbl>
    <w:p>
      <w:pPr>
        <w:pStyle w:val="989"/>
      </w:pPr>
      <w:r/>
      <w:bookmarkStart w:id="1423" w:name="_Toc62446086"/>
      <w:r>
        <w:t xml:space="preserve">СОГЛАСОВАНО</w:t>
      </w:r>
      <w:bookmarkEnd w:id="1423"/>
      <w:r/>
      <w:r/>
    </w:p>
    <w:tbl>
      <w:tblPr>
        <w:tblStyle w:val="995"/>
        <w:tblW w:w="5000" w:type="pct"/>
        <w:tblLook w:val="01E0" w:firstRow="1" w:lastRow="1" w:firstColumn="1" w:lastColumn="1" w:noHBand="0" w:noVBand="0"/>
      </w:tblPr>
      <w:tblGrid>
        <w:gridCol w:w="2325"/>
        <w:gridCol w:w="2416"/>
        <w:gridCol w:w="2408"/>
        <w:gridCol w:w="1473"/>
        <w:gridCol w:w="1072"/>
      </w:tblGrid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7"/>
            </w:pPr>
            <w:r>
              <w:t xml:space="preserve">Наименование организации, предприятия</w:t>
            </w:r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7"/>
            </w:pPr>
            <w:r>
              <w:t xml:space="preserve">Должность исполнителя</w:t>
            </w:r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7"/>
            </w:pPr>
            <w:r>
              <w:t xml:space="preserve">Фамилия, имя, отчество</w:t>
            </w:r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7"/>
            </w:pPr>
            <w:r>
              <w:t xml:space="preserve">Подпись</w:t>
            </w:r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7"/>
            </w:pPr>
            <w:r>
              <w:t xml:space="preserve">Дата</w:t>
            </w:r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  <w:tr>
        <w:trPr/>
        <w:tc>
          <w:tcPr>
            <w:tcW w:w="1199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6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1242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760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  <w:tc>
          <w:tcPr>
            <w:tcW w:w="553" w:type="pct"/>
            <w:textDirection w:val="lrTb"/>
            <w:noWrap w:val="false"/>
          </w:tcPr>
          <w:p>
            <w:pPr>
              <w:pStyle w:val="996"/>
            </w:pPr>
            <w:r/>
            <w:r/>
          </w:p>
        </w:tc>
      </w:tr>
    </w:tbl>
    <w:p>
      <w:pPr>
        <w:pStyle w:val="989"/>
      </w:pPr>
      <w:r/>
      <w:bookmarkStart w:id="1424" w:name="_Toc20229539"/>
      <w:r/>
      <w:bookmarkStart w:id="1425" w:name="_Toc62446087"/>
      <w:r>
        <w:t xml:space="preserve">ЛИСТ РЕГИСТРАЦИИ ИЗМЕНЕНИЙ</w:t>
      </w:r>
      <w:bookmarkEnd w:id="1420"/>
      <w:r/>
      <w:bookmarkEnd w:id="1421"/>
      <w:r/>
      <w:bookmarkEnd w:id="1422"/>
      <w:r/>
      <w:bookmarkEnd w:id="1424"/>
      <w:r/>
      <w:bookmarkEnd w:id="142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top w:w="57" w:type="dxa"/>
          <w:right w:w="28" w:type="dxa"/>
          <w:bottom w:w="57" w:type="dxa"/>
        </w:tblCellMar>
        <w:tblLook w:val="01E0" w:firstRow="1" w:lastRow="1" w:firstColumn="1" w:lastColumn="1" w:noHBand="0" w:noVBand="0"/>
      </w:tblPr>
      <w:tblGrid>
        <w:gridCol w:w="865"/>
        <w:gridCol w:w="1431"/>
        <w:gridCol w:w="1985"/>
        <w:gridCol w:w="5413"/>
      </w:tblGrid>
      <w:tr>
        <w:trPr>
          <w:trHeight w:val="20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46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№ версии док-та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8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Дата изменения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4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Автор изменений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792" w:type="pct"/>
            <w:vAlign w:val="center"/>
            <w:textDirection w:val="lrTb"/>
            <w:noWrap w:val="false"/>
          </w:tcPr>
          <w:p>
            <w:pPr>
              <w:pStyle w:val="997"/>
            </w:pPr>
            <w:r>
              <w:t xml:space="preserve">Изменения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  <w:r>
              <w:t xml:space="preserve">.</w:t>
            </w:r>
            <w:r>
              <w:rPr>
                <w:lang w:val="en-US"/>
              </w:rPr>
              <w:t xml:space="preserve">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17.10.2017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Иванова О. С.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разработан на основании Государственного контракта ФКУ0533/10/2017 от 11.10.2017.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2.0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03.11.2017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Иванова О. С.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замечаниям Заказчика.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3.0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13.12.2017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доработан на основании Письма ФКУ «ЦОКР» от 29.11.2017 № 99-27-15/8250 «О направлении запроса на актуализацию документации» в рамках исполнения Государственного контракта ФКУ0533/10/2017 от 11.10.2017.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3.1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2</w:t>
            </w:r>
            <w:r>
              <w:t xml:space="preserve">6</w:t>
            </w:r>
            <w:r>
              <w:t xml:space="preserve">.12.2017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актуализирован в части п. 3.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4.0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27.12.2017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доработан на основании Государственного контракта ФКУ0533/10/2017 от 11.10.2017 (2-й этап работ по развитию).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5.0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</w:t>
            </w:r>
            <w:r>
              <w:t xml:space="preserve">2.03.2018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замечаниям Заказчика.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6.0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07.05.2018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замечаниям Заказчика.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6.1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21.06.2018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в п. </w:t>
            </w:r>
            <w:r>
              <w:fldChar w:fldCharType="begin"/>
            </w:r>
            <w:r>
              <w:instrText xml:space="preserve"> REF _Ref517692435 \n \h </w:instrText>
            </w:r>
            <w:r>
              <w:fldChar w:fldCharType="separate"/>
            </w:r>
            <w:r>
              <w:t xml:space="preserve">5.2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7.0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12.02.2019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актуализирован на основании Государственного контракта № ФКУ0678/12/2018/ИС от 03.12.2018 (1-й период работ по развитию подсистемы управления расходами).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7.1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11.03.2019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актуализирован.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7.2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06.05.2019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замечаниям Заказчика.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7.3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10.06.2019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Егорова Е. И.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замечаниям Заказчика.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rPr>
                <w:lang w:val="en-US"/>
              </w:rPr>
              <w:t xml:space="preserve">7.4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t xml:space="preserve">20</w:t>
            </w:r>
            <w:r>
              <w:rPr>
                <w:lang w:val="en-US"/>
              </w:rPr>
              <w:t xml:space="preserve">.08.2019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Тяпкина О. 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замечаниям Заказчика.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7.5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30.08.2019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Тяпкина О. 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в пп.</w:t>
            </w:r>
            <w:r>
              <w:t xml:space="preserve"> </w:t>
            </w:r>
            <w:r>
              <w:fldChar w:fldCharType="begin"/>
            </w:r>
            <w:r>
              <w:instrText xml:space="preserve"> REF _Ref17981949 \r \h </w:instrText>
            </w:r>
            <w:r>
              <w:fldChar w:fldCharType="separate"/>
            </w:r>
            <w:r>
              <w:t xml:space="preserve">5.3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_Ref20229647 \r \h </w:instrText>
            </w:r>
            <w:r>
              <w:fldChar w:fldCharType="separate"/>
            </w:r>
            <w:r>
              <w:t xml:space="preserve">5.4.8</w:t>
            </w:r>
            <w:r>
              <w:fldChar w:fldCharType="end"/>
            </w:r>
            <w:r>
              <w:t xml:space="preserve">, д</w:t>
            </w:r>
            <w:r>
              <w:t xml:space="preserve">обавлен п. </w:t>
            </w:r>
            <w:r>
              <w:fldChar w:fldCharType="begin"/>
            </w:r>
            <w:r>
              <w:instrText xml:space="preserve"> REF _Ref19882998 \r \h </w:instrText>
            </w:r>
            <w:r>
              <w:fldChar w:fldCharType="separate"/>
            </w:r>
            <w:r>
              <w:t xml:space="preserve">5.4.11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t xml:space="preserve">0</w:t>
            </w:r>
            <w:r>
              <w:t xml:space="preserve">8</w:t>
            </w:r>
            <w:r>
              <w:t xml:space="preserve">.</w:t>
            </w:r>
            <w:r>
              <w:t xml:space="preserve">0</w:t>
            </w:r>
            <w:r>
              <w:rPr>
                <w:lang w:val="en-US"/>
              </w:rPr>
              <w:t xml:space="preserve">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17</w:t>
            </w:r>
            <w:r>
              <w:t xml:space="preserve">.10.2019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Сафронова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актуализирован на основании Государственного контракта № ФКУ0678/12/2018/ИС от 03.12.2018 (2-й период работ по развитию подсистемы управления расходами). 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0</w:t>
            </w:r>
            <w:r>
              <w:t xml:space="preserve">8</w:t>
            </w:r>
            <w:r>
              <w:t xml:space="preserve">.0</w:t>
            </w:r>
            <w:r>
              <w:t xml:space="preserve">1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27.11.2019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Сафронова А. 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Плановая актуализация документа.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rPr>
                <w:lang w:val="en-US"/>
              </w:rPr>
              <w:t xml:space="preserve">08.02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2</w:t>
            </w:r>
            <w:r>
              <w:t xml:space="preserve">7</w:t>
            </w:r>
            <w:r>
              <w:t xml:space="preserve">.03.2020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Алексеев И.</w:t>
            </w:r>
            <w:r>
              <w:t xml:space="preserve"> И.</w:t>
            </w:r>
            <w:r/>
          </w:p>
          <w:p>
            <w:pPr>
              <w:pStyle w:val="996"/>
            </w:pPr>
            <w:r>
              <w:t xml:space="preserve">Тяпкина О. В.</w:t>
            </w:r>
            <w:r/>
          </w:p>
          <w:p>
            <w:pPr>
              <w:pStyle w:val="996"/>
            </w:pPr>
            <w:r>
              <w:t xml:space="preserve">Петрова Н.В.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Актуализация п</w:t>
            </w:r>
            <w:r>
              <w:t xml:space="preserve">п</w:t>
            </w:r>
            <w:r>
              <w:t xml:space="preserve">.</w:t>
            </w:r>
            <w:r>
              <w:t xml:space="preserve"> </w:t>
            </w:r>
            <w:r>
              <w:fldChar w:fldCharType="begin"/>
            </w:r>
            <w:r>
              <w:instrText xml:space="preserve"> REF _Ref35875644 \r \h </w:instrText>
            </w:r>
            <w:r>
              <w:fldChar w:fldCharType="separate"/>
            </w:r>
            <w:r>
              <w:t xml:space="preserve">1.2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_Ref36213707 \n \h </w:instrText>
            </w:r>
            <w:r>
              <w:fldChar w:fldCharType="separate"/>
            </w:r>
            <w:r>
              <w:t xml:space="preserve">5.3.1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_Ref37937725 \r \h </w:instrText>
            </w:r>
            <w:r>
              <w:fldChar w:fldCharType="separate"/>
            </w:r>
            <w:r>
              <w:t xml:space="preserve">5.4.1.2.7</w:t>
            </w:r>
            <w:r>
              <w:fldChar w:fldCharType="end"/>
            </w:r>
            <w:r>
              <w:t xml:space="preserve">, </w:t>
            </w:r>
            <w:r>
              <w:t xml:space="preserve">добавлен п. </w:t>
            </w:r>
            <w:r>
              <w:fldChar w:fldCharType="begin"/>
            </w:r>
            <w:r>
              <w:instrText xml:space="preserve"> REF _Ref36192944 \r \h </w:instrText>
            </w:r>
            <w:r>
              <w:fldChar w:fldCharType="separate"/>
            </w:r>
            <w:r>
              <w:t xml:space="preserve">5.7.3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  <w:rPr>
                <w:lang w:val="en-US"/>
              </w:rPr>
            </w:pPr>
            <w:r>
              <w:t xml:space="preserve">08.03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27.05.2020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Тяпкина О. 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актуализирован в ходе проведения опытной эксплуатации в рамках Государственного контракта № ФКУ0678/12/2018/ИС от 03.12.2018 (2-й период работ по развитию подсистемы управления расходами).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0</w:t>
            </w:r>
            <w:r>
              <w:t xml:space="preserve">8.04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07.08.2020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Тяпкина О. 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замечаниям Заказчика в рамках Государственного контракта № ФКУ0678/12/2018/ИС от 03.12.2018 (2-й период работ по развитию подсистемы управления расходами).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09.00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17.08.2020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Петрова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Документ актуализирован на основании Государственного контракта № ФКУ0173/06/2020/РИС от 09.06.2020 (1-й период работ по развитию подсистемы управления расходами)</w:t>
            </w:r>
            <w:r/>
          </w:p>
        </w:tc>
      </w:tr>
      <w:tr>
        <w:trPr>
          <w:trHeight w:val="20"/>
        </w:trPr>
        <w:tc>
          <w:tcPr>
            <w:tcW w:w="446" w:type="pct"/>
            <w:textDirection w:val="lrTb"/>
            <w:noWrap w:val="false"/>
          </w:tcPr>
          <w:p>
            <w:pPr>
              <w:pStyle w:val="996"/>
            </w:pPr>
            <w:r>
              <w:t xml:space="preserve">09.01</w:t>
            </w:r>
            <w:r/>
          </w:p>
        </w:tc>
        <w:tc>
          <w:tcPr>
            <w:tcW w:w="738" w:type="pct"/>
            <w:textDirection w:val="lrTb"/>
            <w:noWrap w:val="false"/>
          </w:tcPr>
          <w:p>
            <w:pPr>
              <w:pStyle w:val="996"/>
            </w:pPr>
            <w:r>
              <w:t xml:space="preserve">15.12.2020</w:t>
            </w:r>
            <w:r/>
          </w:p>
        </w:tc>
        <w:tc>
          <w:tcPr>
            <w:tcW w:w="1024" w:type="pct"/>
            <w:textDirection w:val="lrTb"/>
            <w:noWrap w:val="false"/>
          </w:tcPr>
          <w:p>
            <w:pPr>
              <w:pStyle w:val="996"/>
            </w:pPr>
            <w:r>
              <w:t xml:space="preserve">Тяпкина О. В.</w:t>
            </w:r>
            <w:r/>
          </w:p>
        </w:tc>
        <w:tc>
          <w:tcPr>
            <w:tcW w:w="2792" w:type="pct"/>
            <w:textDirection w:val="lrTb"/>
            <w:noWrap w:val="false"/>
          </w:tcPr>
          <w:p>
            <w:pPr>
              <w:pStyle w:val="996"/>
            </w:pPr>
            <w:r>
              <w:t xml:space="preserve">Внесены изменения по результатам ОЭ в рамках Государственного контракта ФКУ0173/06/2020/РИС от 09.06.2020 (1-й период работ по развитию подсистемы управления расходами).</w:t>
            </w:r>
            <w:r>
              <w:t xml:space="preserve"> Актуализирован перечень браузеров в разделе </w:t>
            </w:r>
            <w:r>
              <w:fldChar w:fldCharType="begin"/>
            </w:r>
            <w:r>
              <w:instrText xml:space="preserve"> REF _Ref64538691 \n \h </w:instrText>
            </w:r>
            <w:r>
              <w:fldChar w:fldCharType="separate"/>
            </w:r>
            <w:r>
              <w:t xml:space="preserve">1.2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996"/>
            </w:pPr>
            <w:r>
              <w:t xml:space="preserve">Актуализирован раздел </w:t>
            </w:r>
            <w:r>
              <w:fldChar w:fldCharType="begin"/>
            </w:r>
            <w:r>
              <w:instrText xml:space="preserve"> REF _Ref64538698 \n \h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r>
              <w:t xml:space="preserve">, внесены изменения в описание бизнес-процессов.</w:t>
            </w:r>
            <w:r/>
          </w:p>
          <w:p>
            <w:pPr>
              <w:pStyle w:val="996"/>
            </w:pPr>
            <w:r>
              <w:t xml:space="preserve">Актуализирован раздел </w:t>
            </w:r>
            <w:r>
              <w:fldChar w:fldCharType="begin"/>
            </w:r>
            <w:r>
              <w:instrText xml:space="preserve"> REF _Ref64538705 \n \h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r>
              <w:t xml:space="preserve">, внесены изменения в описание порядка работы пользователя со справочниками и документами.</w:t>
            </w:r>
            <w:r/>
          </w:p>
        </w:tc>
      </w:tr>
    </w:tbl>
    <w:p>
      <w:r/>
      <w:r/>
    </w:p>
    <w:sectPr>
      <w:headerReference w:type="default" r:id="rId11"/>
      <w:footerReference w:type="default" r:id="rId14"/>
      <w:footnotePr/>
      <w:endnotePr/>
      <w:type w:val="nextPage"/>
      <w:pgSz w:w="11906" w:h="16838" w:orient="portrait"/>
      <w:pgMar w:top="1134" w:right="567" w:bottom="851" w:left="1701" w:header="567" w:footer="2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times new roman Полужирный">
    <w:panose1 w:val="02020603050405020304"/>
  </w:font>
  <w:font w:name="Symbol">
    <w:panose1 w:val="05010000000000000000"/>
  </w:font>
  <w:font w:name="Wingdings">
    <w:panose1 w:val="05010000000000000000"/>
  </w:font>
  <w:font w:name="Calibri">
    <w:panose1 w:val="020F0502020204030204"/>
  </w:font>
  <w:font w:name="MS Gothic">
    <w:panose1 w:val="020B06060303040B0204"/>
  </w:font>
  <w:font w:name="Cambria">
    <w:panose1 w:val="020206030504050203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1"/>
    </w:pPr>
    <w:r>
      <w:t xml:space="preserve">202</w:t>
    </w:r>
    <w:r>
      <w:t xml:space="preserve">1</w:t>
    </w:r>
    <w:r>
      <w:t xml:space="preserve"> г.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1"/>
    </w:pPr>
    <w:r>
      <w:t xml:space="preserve">2017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5"/>
      <w:jc w:val="left"/>
      <w:tabs>
        <w:tab w:val="left" w:pos="1140" w:leader="none"/>
        <w:tab w:val="center" w:pos="5245" w:leader="none"/>
      </w:tabs>
    </w:pPr>
    <w:r>
      <w:tab/>
    </w:r>
    <w:r>
      <w:tab/>
      <w:t xml:space="preserve">ФЕДЕРАЛЬНОЕ КАЗНАЧЕЙСТВО (КАЗНАЧЕЙСТВО РОССИИ</w:t>
    </w:r>
    <w:r>
      <w:t xml:space="preserve">)</w:t>
    </w:r>
    <w:r/>
  </w:p>
  <w:p>
    <w:pPr>
      <w:pStyle w:val="98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5"/>
      <w:jc w:val="left"/>
      <w:tabs>
        <w:tab w:val="left" w:pos="1140" w:leader="none"/>
        <w:tab w:val="center" w:pos="5245" w:leader="none"/>
      </w:tabs>
    </w:pPr>
    <w:r>
      <w:tab/>
    </w:r>
    <w:r>
      <w:tab/>
      <w:t xml:space="preserve">ФЕДЕРАЛЬНОЕ КАЗНАЧЕЙСТВО (КАЗНАЧЕЙСТВО РОССИИ</w:t>
    </w:r>
    <w:r>
      <w:t xml:space="preserve">)</w:t>
    </w:r>
    <w:r/>
  </w:p>
  <w:p>
    <w:pPr>
      <w:pStyle w:val="98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  <w:tblLook w:val="0000" w:firstRow="0" w:lastRow="0" w:firstColumn="0" w:lastColumn="0" w:noHBand="0" w:noVBand="0"/>
    </w:tblPr>
    <w:tblGrid>
      <w:gridCol w:w="2519"/>
      <w:gridCol w:w="5847"/>
      <w:gridCol w:w="1488"/>
    </w:tblGrid>
    <w:tr>
      <w:trPr>
        <w:cantSplit/>
      </w:trPr>
      <w:tc>
        <w:tcPr>
          <w:tcW w:w="1278" w:type="pct"/>
          <w:vAlign w:val="center"/>
          <w:textDirection w:val="lrTb"/>
          <w:noWrap w:val="false"/>
        </w:tcPr>
        <w:p>
          <w:pPr>
            <w:pStyle w:val="975"/>
          </w:pPr>
          <w:r>
            <w:t xml:space="preserve">Наименование ИС:</w:t>
          </w:r>
          <w:r/>
        </w:p>
      </w:tc>
      <w:tc>
        <w:tcPr>
          <w:gridSpan w:val="2"/>
          <w:tcW w:w="3722" w:type="pct"/>
          <w:vAlign w:val="center"/>
          <w:textDirection w:val="lrTb"/>
          <w:noWrap w:val="false"/>
        </w:tcPr>
        <w:p>
          <w:pPr>
            <w:ind w:firstLine="0"/>
            <w:jc w:val="left"/>
            <w:rPr>
              <w:rFonts w:ascii="Arial" w:hAnsi="Arial"/>
              <w:b/>
              <w:color w:val="333333"/>
              <w:sz w:val="20"/>
            </w:rPr>
          </w:pPr>
          <w:r>
            <w:rPr>
              <w:rFonts w:ascii="Arial" w:hAnsi="Arial"/>
              <w:b/>
              <w:color w:val="333333"/>
              <w:sz w:val="20"/>
            </w:rPr>
            <w:t xml:space="preserve">ГИИС «Электронный бюджет</w:t>
          </w:r>
          <w:r>
            <w:rPr>
              <w:rFonts w:ascii="Arial" w:hAnsi="Arial"/>
              <w:b/>
              <w:color w:val="333333"/>
              <w:sz w:val="20"/>
            </w:rPr>
            <w:t xml:space="preserve">»</w:t>
          </w:r>
          <w:r>
            <w:rPr>
              <w:rFonts w:ascii="Arial" w:hAnsi="Arial"/>
              <w:b/>
              <w:color w:val="333333"/>
              <w:sz w:val="20"/>
            </w:rPr>
            <w:t xml:space="preserve">. Подсистема </w:t>
          </w:r>
          <w:r>
            <w:rPr>
              <w:rFonts w:ascii="Arial" w:hAnsi="Arial"/>
              <w:b/>
              <w:color w:val="333333"/>
              <w:sz w:val="20"/>
            </w:rPr>
            <w:t xml:space="preserve">управления расходами</w:t>
          </w:r>
          <w:r/>
        </w:p>
      </w:tc>
    </w:tr>
    <w:tr>
      <w:trPr>
        <w:cantSplit/>
      </w:trPr>
      <w:tc>
        <w:tcPr>
          <w:tcW w:w="1278" w:type="pct"/>
          <w:vAlign w:val="center"/>
          <w:textDirection w:val="lrTb"/>
          <w:noWrap w:val="false"/>
        </w:tcPr>
        <w:p>
          <w:pPr>
            <w:pStyle w:val="975"/>
          </w:pPr>
          <w:r>
            <w:t xml:space="preserve">Название документа:</w:t>
          </w:r>
          <w:r/>
        </w:p>
      </w:tc>
      <w:tc>
        <w:tcPr>
          <w:gridSpan w:val="2"/>
          <w:tcW w:w="3722" w:type="pct"/>
          <w:vAlign w:val="center"/>
          <w:textDirection w:val="lrTb"/>
          <w:noWrap w:val="false"/>
        </w:tcPr>
        <w:p>
          <w:pPr>
            <w:pStyle w:val="975"/>
          </w:pPr>
          <w:r>
            <w:rPr>
              <w:rFonts w:eastAsia="Calibri"/>
            </w:rPr>
            <w:t xml:space="preserve">Руководство работников (представителей) участников ГИИС «Электронный бюджет» по работе с подсистемой (компонентом, модулем)</w:t>
          </w:r>
          <w:r>
            <w:rPr>
              <w:rFonts w:eastAsia="Calibri"/>
            </w:rPr>
            <w:t xml:space="preserve">. </w:t>
          </w:r>
          <w:r>
            <w:t xml:space="preserve">Том 1. </w:t>
          </w:r>
          <w:r>
            <w:t xml:space="preserve">Руководство для сотрудников ГРБС, РБС, ПБС</w:t>
          </w:r>
          <w:r/>
        </w:p>
      </w:tc>
    </w:tr>
    <w:tr>
      <w:trPr>
        <w:cantSplit/>
        <w:trHeight w:val="143"/>
      </w:trPr>
      <w:tc>
        <w:tcPr>
          <w:tcW w:w="1278" w:type="pct"/>
          <w:vAlign w:val="center"/>
          <w:textDirection w:val="lrTb"/>
          <w:noWrap w:val="false"/>
        </w:tcPr>
        <w:p>
          <w:pPr>
            <w:pStyle w:val="975"/>
          </w:pPr>
          <w:r>
            <w:t xml:space="preserve">Код документа:</w:t>
          </w:r>
          <w:r/>
        </w:p>
      </w:tc>
      <w:tc>
        <w:tcPr>
          <w:tcW w:w="2967" w:type="pct"/>
          <w:vAlign w:val="center"/>
          <w:textDirection w:val="lrTb"/>
          <w:noWrap w:val="false"/>
        </w:tcPr>
        <w:p>
          <w:pPr>
            <w:pStyle w:val="975"/>
          </w:pPr>
          <w:r>
            <w:t xml:space="preserve">54819512.20.05,04.ЭБ26.002-0</w:t>
          </w:r>
          <w:r>
            <w:t xml:space="preserve">9</w:t>
          </w:r>
          <w:r>
            <w:t xml:space="preserve">.0</w:t>
          </w:r>
          <w:r>
            <w:t xml:space="preserve">1</w:t>
          </w:r>
          <w:r>
            <w:t xml:space="preserve"> 1(2,5,6,7,8)</w:t>
          </w:r>
          <w:r/>
        </w:p>
      </w:tc>
      <w:tc>
        <w:tcPr>
          <w:tcW w:w="755" w:type="pct"/>
          <w:textDirection w:val="lrTb"/>
          <w:noWrap w:val="false"/>
        </w:tcPr>
        <w:p>
          <w:pPr>
            <w:pStyle w:val="975"/>
          </w:pPr>
          <w: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 xml:space="preserve">5</w:t>
          </w:r>
          <w:r>
            <w:fldChar w:fldCharType="end"/>
          </w:r>
          <w:r/>
        </w:p>
      </w:tc>
    </w:tr>
  </w:tbl>
  <w:p>
    <w:pPr>
      <w:pStyle w:val="980"/>
      <w:tabs>
        <w:tab w:val="clear" w:pos="4677" w:leader="none"/>
        <w:tab w:val="clear" w:pos="9355" w:leader="none"/>
        <w:tab w:val="left" w:pos="11350" w:leader="none"/>
      </w:tabs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134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pStyle w:val="1133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decimal"/>
      <w:pStyle w:val="1132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decimal"/>
      <w:pStyle w:val="1131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4">
    <w:multiLevelType w:val="hybridMultilevel"/>
    <w:lvl w:ilvl="0">
      <w:start w:val="1"/>
      <w:numFmt w:val="bullet"/>
      <w:pStyle w:val="1127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1"/>
      <w:numFmt w:val="bullet"/>
      <w:pStyle w:val="1126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6">
    <w:multiLevelType w:val="hybridMultilevel"/>
    <w:lvl w:ilvl="0">
      <w:start w:val="1"/>
      <w:numFmt w:val="bullet"/>
      <w:pStyle w:val="1125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7">
    <w:multiLevelType w:val="hybridMultilevel"/>
    <w:lvl w:ilvl="0">
      <w:start w:val="1"/>
      <w:numFmt w:val="bullet"/>
      <w:pStyle w:val="1124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8">
    <w:multiLevelType w:val="hybridMultilevel"/>
    <w:lvl w:ilvl="0">
      <w:start w:val="1"/>
      <w:numFmt w:val="decimal"/>
      <w:pStyle w:val="1101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9">
    <w:multiLevelType w:val="hybridMultilevel"/>
    <w:lvl w:ilvl="0">
      <w:start w:val="1"/>
      <w:numFmt w:val="bullet"/>
      <w:pStyle w:val="1100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0">
    <w:multiLevelType w:val="hybridMultilevel"/>
    <w:lvl w:ilvl="0">
      <w:start w:val="1"/>
      <w:numFmt w:val="decimal"/>
      <w:pStyle w:val="999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1">
      <w:start w:val="1"/>
      <w:numFmt w:val="decimal"/>
      <w:pStyle w:val="1155"/>
      <w:isLgl w:val="false"/>
      <w:suff w:val="tab"/>
      <w:lvlText w:val="%1.%2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2">
      <w:start w:val="1"/>
      <w:numFmt w:val="decimal"/>
      <w:pStyle w:val="1221"/>
      <w:isLgl w:val="false"/>
      <w:suff w:val="tab"/>
      <w:lvlText w:val="%1.%2.%3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3">
      <w:start w:val="1"/>
      <w:numFmt w:val="decimal"/>
      <w:pStyle w:val="1223"/>
      <w:isLgl w:val="false"/>
      <w:suff w:val="tab"/>
      <w:lvlText w:val="%1.%2.%3.%4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4">
      <w:start w:val="1"/>
      <w:numFmt w:val="decimal"/>
      <w:pStyle w:val="1224"/>
      <w:isLgl w:val="false"/>
      <w:suff w:val="tab"/>
      <w:lvlText w:val="%1.%2.%3.%4.%5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5">
      <w:start w:val="1"/>
      <w:numFmt w:val="decimal"/>
      <w:pStyle w:val="1225"/>
      <w:isLgl w:val="false"/>
      <w:suff w:val="tab"/>
      <w:lvlText w:val="%1.%2.%3.%4.%5.%6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6">
      <w:start w:val="1"/>
      <w:numFmt w:val="decimal"/>
      <w:pStyle w:val="1226"/>
      <w:isLgl w:val="false"/>
      <w:suff w:val="tab"/>
      <w:lvlText w:val="%1.%2.%3.%4.%5.%6.%7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4" w:hanging="227"/>
        <w:tabs>
          <w:tab w:val="num" w:pos="28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pStyle w:val="1147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false"/>
        <w:vanish w:val="false"/>
        <w:spacing w:val="0"/>
        <w:position w:val="0"/>
        <w:u w:val="none"/>
        <w:vertAlign w:val="baseline"/>
      </w:rPr>
    </w:lvl>
    <w:lvl w:ilvl="1">
      <w:start w:val="1"/>
      <w:numFmt w:val="decimal"/>
      <w:pStyle w:val="983"/>
      <w:isLgl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1150"/>
      <w:isLgl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1151"/>
      <w:isLgl w:val="false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  <w:rPr>
        <w:rFonts w:hint="default"/>
      </w:rPr>
    </w:lvl>
  </w:abstractNum>
  <w:abstractNum w:abstractNumId="12">
    <w:multiLevelType w:val="hybridMultilevel"/>
    <w:styleLink w:val="1065"/>
    <w:lvl w:ilvl="0">
      <w:start w:val="1"/>
      <w:numFmt w:val="upperRoman"/>
      <w:pStyle w:val="1065"/>
      <w:isLgl w:val="false"/>
      <w:suff w:val="tab"/>
      <w:lvlText w:val="Статья %1."/>
      <w:lvlJc w:val="left"/>
      <w:pPr>
        <w:ind w:left="0" w:firstLine="0"/>
        <w:tabs>
          <w:tab w:val="num" w:pos="1440" w:leader="none"/>
        </w:tabs>
      </w:pPr>
    </w:lvl>
    <w:lvl w:ilvl="1">
      <w:start w:val="1"/>
      <w:numFmt w:val="decimalZero"/>
      <w:isLgl/>
      <w:suff w:val="tab"/>
      <w:lvlText w:val="Раздел %1.%2"/>
      <w:lvlJc w:val="left"/>
      <w:pPr>
        <w:ind w:left="0" w:firstLine="0"/>
        <w:tabs>
          <w:tab w:val="num" w:pos="1080" w:leader="none"/>
        </w:tabs>
      </w:pPr>
    </w:lvl>
    <w:lvl w:ilvl="2">
      <w:start w:val="1"/>
      <w:numFmt w:val="lowerLetter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</w:lvl>
    <w:lvl w:ilvl="3">
      <w:start w:val="1"/>
      <w:numFmt w:val="lowerRoman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</w:lvl>
    <w:lvl w:ilvl="5">
      <w:start w:val="1"/>
      <w:numFmt w:val="lowerLetter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</w:lvl>
    <w:lvl w:ilvl="6">
      <w:start w:val="1"/>
      <w:numFmt w:val="lowerRoman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</w:lvl>
  </w:abstractNum>
  <w:abstractNum w:abstractNumId="13">
    <w:multiLevelType w:val="hybridMultilevel"/>
    <w:styleLink w:val="1022"/>
    <w:lvl w:ilvl="0">
      <w:start w:val="1"/>
      <w:numFmt w:val="decimal"/>
      <w:pStyle w:val="1022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4">
    <w:multiLevelType w:val="hybridMultilevel"/>
    <w:lvl w:ilvl="0">
      <w:start w:val="1"/>
      <w:numFmt w:val="bullet"/>
      <w:pStyle w:val="978"/>
      <w:isLgl w:val="false"/>
      <w:suff w:val="tab"/>
      <w:lvlText w:val="–"/>
      <w:lvlJc w:val="left"/>
      <w:pPr>
        <w:ind w:left="1418" w:hanging="284"/>
        <w:tabs>
          <w:tab w:val="num" w:pos="1418" w:leader="none"/>
        </w:tabs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5">
    <w:multiLevelType w:val="hybridMultilevel"/>
    <w:lvl w:ilvl="0">
      <w:start w:val="1"/>
      <w:numFmt w:val="bullet"/>
      <w:pStyle w:val="1235"/>
      <w:isLgl w:val="false"/>
      <w:suff w:val="tab"/>
      <w:lvlText w:val=""/>
      <w:lvlJc w:val="left"/>
      <w:pPr>
        <w:ind w:left="0" w:firstLine="709"/>
        <w:tabs>
          <w:tab w:val="num" w:pos="992" w:leader="none"/>
        </w:tabs>
      </w:pPr>
      <w:rPr>
        <w:rFonts w:ascii="Symbol" w:hAnsi="Symbol" w:cs="Times New Roman" w:hint="default"/>
        <w:color w:val="auto"/>
      </w:rPr>
    </w:lvl>
    <w:lvl w:ilvl="1">
      <w:start w:val="1"/>
      <w:numFmt w:val="bullet"/>
      <w:isLgl w:val="false"/>
      <w:suff w:val="tab"/>
      <w:lvlText w:val=""/>
      <w:lvlJc w:val="left"/>
      <w:pPr>
        <w:ind w:left="1276" w:hanging="284"/>
        <w:tabs>
          <w:tab w:val="num" w:pos="992" w:leader="none"/>
        </w:tabs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isLgl w:val="false"/>
      <w:suff w:val="tab"/>
      <w:lvlText w:val="–"/>
      <w:lvlJc w:val="left"/>
      <w:pPr>
        <w:ind w:left="1758" w:hanging="340"/>
        <w:tabs>
          <w:tab w:val="num" w:pos="1276" w:leader="none"/>
        </w:tabs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  <w:tabs>
          <w:tab w:val="num" w:pos="1800" w:leader="none"/>
        </w:tabs>
      </w:pPr>
      <w:rPr>
        <w:rFonts w:ascii="Symbol" w:hAnsi="Symbol" w:hint="default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 w:hint="default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  <w:tabs>
          <w:tab w:val="num" w:pos="3240" w:leader="none"/>
        </w:tabs>
      </w:pPr>
      <w:rPr>
        <w:rFonts w:ascii="Symbol" w:hAnsi="Symbol" w:hint="default"/>
      </w:rPr>
    </w:lvl>
  </w:abstractNum>
  <w:abstractNum w:abstractNumId="16">
    <w:multiLevelType w:val="hybridMultilevel"/>
    <w:lvl w:ilvl="0">
      <w:start w:val="1"/>
      <w:numFmt w:val="decimal"/>
      <w:pStyle w:val="1000"/>
      <w:isLgl w:val="false"/>
      <w:suff w:val="tab"/>
      <w:lvlText w:val="%1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1">
      <w:start w:val="1"/>
      <w:numFmt w:val="decimal"/>
      <w:pStyle w:val="1228"/>
      <w:isLgl w:val="false"/>
      <w:suff w:val="tab"/>
      <w:lvlText w:val="%1.%2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2">
      <w:start w:val="1"/>
      <w:numFmt w:val="decimal"/>
      <w:pStyle w:val="1229"/>
      <w:isLgl w:val="false"/>
      <w:suff w:val="tab"/>
      <w:lvlText w:val="%1.%2.%3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3">
      <w:start w:val="1"/>
      <w:numFmt w:val="decimal"/>
      <w:pStyle w:val="1230"/>
      <w:isLgl w:val="false"/>
      <w:suff w:val="tab"/>
      <w:lvlText w:val="%1.%2.%3.%4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4">
      <w:start w:val="1"/>
      <w:numFmt w:val="decimal"/>
      <w:pStyle w:val="1231"/>
      <w:isLgl w:val="false"/>
      <w:suff w:val="tab"/>
      <w:lvlText w:val="%1.%2.%3.%4.%5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5">
      <w:start w:val="1"/>
      <w:numFmt w:val="decimal"/>
      <w:pStyle w:val="1232"/>
      <w:isLgl w:val="false"/>
      <w:suff w:val="tab"/>
      <w:lvlText w:val="%1.%2.%3.%4.%5.%6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6">
      <w:start w:val="1"/>
      <w:numFmt w:val="decimal"/>
      <w:pStyle w:val="1233"/>
      <w:isLgl w:val="false"/>
      <w:suff w:val="tab"/>
      <w:lvlText w:val="%1.%2.%3.%4.%5.%6.%7."/>
      <w:lvlJc w:val="left"/>
      <w:pPr>
        <w:ind w:left="113" w:firstLine="0"/>
        <w:tabs>
          <w:tab w:val="num" w:pos="113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/>
      </w:rPr>
    </w:lvl>
  </w:abstractNum>
  <w:abstractNum w:abstractNumId="17">
    <w:multiLevelType w:val="hybridMultilevel"/>
    <w:styleLink w:val="1021"/>
    <w:lvl w:ilvl="0">
      <w:start w:val="1"/>
      <w:numFmt w:val="decimal"/>
      <w:pStyle w:val="1021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8">
    <w:multiLevelType w:val="hybridMultilevel"/>
    <w:lvl w:ilvl="0">
      <w:start w:val="1"/>
      <w:numFmt w:val="bullet"/>
      <w:pStyle w:val="977"/>
      <w:isLgl w:val="false"/>
      <w:suff w:val="tab"/>
      <w:lvlText w:val="–"/>
      <w:lvlJc w:val="left"/>
      <w:pPr>
        <w:ind w:left="1134" w:hanging="283"/>
        <w:tabs>
          <w:tab w:val="num" w:pos="1134" w:leader="none"/>
        </w:tabs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bullet"/>
      <w:pStyle w:val="979"/>
      <w:isLgl w:val="false"/>
      <w:suff w:val="tab"/>
      <w:lvlText w:val=""/>
      <w:lvlJc w:val="left"/>
      <w:pPr>
        <w:ind w:left="1701" w:hanging="283"/>
        <w:tabs>
          <w:tab w:val="num" w:pos="1701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91" w:hanging="360"/>
        <w:tabs>
          <w:tab w:val="num" w:pos="1491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11" w:hanging="360"/>
        <w:tabs>
          <w:tab w:val="num" w:pos="2211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31" w:hanging="360"/>
        <w:tabs>
          <w:tab w:val="num" w:pos="2931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51" w:hanging="360"/>
        <w:tabs>
          <w:tab w:val="num" w:pos="3651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71" w:hanging="360"/>
        <w:tabs>
          <w:tab w:val="num" w:pos="4371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91" w:hanging="360"/>
        <w:tabs>
          <w:tab w:val="num" w:pos="5091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11" w:hanging="360"/>
        <w:tabs>
          <w:tab w:val="num" w:pos="5811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31" w:hanging="360"/>
        <w:tabs>
          <w:tab w:val="num" w:pos="6531" w:leader="none"/>
        </w:tabs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none"/>
      <w:pStyle w:val="1006"/>
      <w:isLgl w:val="false"/>
      <w:suff w:val="tab"/>
      <w:lvlText w:val="%1Приложение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none"/>
      <w:pStyle w:val="984"/>
      <w:isLgl w:val="false"/>
      <w:suff w:val="tab"/>
      <w:lvlText w:val="Таблица "/>
      <w:lvlJc w:val="left"/>
      <w:pPr>
        <w:ind w:left="0" w:firstLine="567"/>
        <w:tabs>
          <w:tab w:val="num" w:pos="567" w:leader="none"/>
        </w:tabs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false"/>
        <w:vanish w:val="false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decimal"/>
      <w:pStyle w:val="1162"/>
      <w:isLgl w:val="false"/>
      <w:suff w:val="tab"/>
      <w:lvlText w:val="%1)"/>
      <w:lvlJc w:val="left"/>
      <w:pPr>
        <w:ind w:left="284" w:hanging="227"/>
        <w:tabs>
          <w:tab w:val="num" w:pos="284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false"/>
        <w:vanish w:val="false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false"/>
        <w:vanish w:val="false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pStyle w:val="998"/>
      <w:isLgl w:val="false"/>
      <w:suff w:val="tab"/>
      <w:lvlText w:val=""/>
      <w:lvlJc w:val="left"/>
      <w:pPr>
        <w:ind w:left="340" w:hanging="227"/>
        <w:tabs>
          <w:tab w:val="num" w:pos="340" w:leader="none"/>
        </w:tabs>
      </w:pPr>
      <w:rPr>
        <w:rFonts w:ascii="Symbol" w:hAnsi="Symbol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russianLower"/>
      <w:pStyle w:val="1163"/>
      <w:isLgl w:val="false"/>
      <w:suff w:val="tab"/>
      <w:lvlText w:val="%1)"/>
      <w:lvlJc w:val="left"/>
      <w:pPr>
        <w:ind w:left="284" w:hanging="227"/>
        <w:tabs>
          <w:tab w:val="num" w:pos="284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false"/>
        <w:vanish w:val="false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false"/>
        <w:vanish w:val="false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969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26">
    <w:multiLevelType w:val="hybridMultilevel"/>
    <w:lvl w:ilvl="0">
      <w:start w:val="1"/>
      <w:numFmt w:val="none"/>
      <w:pStyle w:val="974"/>
      <w:isLgl w:val="false"/>
      <w:suff w:val="tab"/>
      <w:lvlText w:val="Рисунок 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false"/>
        <w:vanish w:val="false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7">
    <w:multiLevelType w:val="hybridMultilevel"/>
    <w:lvl w:ilvl="0">
      <w:start w:val="1"/>
      <w:numFmt w:val="decimal"/>
      <w:pStyle w:val="961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pStyle w:val="962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</w:rPr>
    </w:lvl>
    <w:lvl w:ilvl="2">
      <w:start w:val="1"/>
      <w:numFmt w:val="decimal"/>
      <w:pStyle w:val="963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pStyle w:val="964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pStyle w:val="965"/>
      <w:isLgl w:val="false"/>
      <w:suff w:val="tab"/>
      <w:lvlText w:val="%1.%2.%3.%4.%5.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966"/>
      <w:isLgl w:val="false"/>
      <w:suff w:val="tab"/>
      <w:lvlText w:val="%1.%2.%3.%4.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967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968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pStyle w:val="976"/>
      <w:isLgl w:val="false"/>
      <w:suff w:val="tab"/>
      <w:lvlText w:val="–"/>
      <w:lvlJc w:val="left"/>
      <w:pPr>
        <w:ind w:left="851" w:hanging="284"/>
        <w:tabs>
          <w:tab w:val="num" w:pos="851" w:leader="none"/>
        </w:tabs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7" w:firstLine="57"/>
        <w:tabs>
          <w:tab w:val="num" w:pos="114" w:leader="none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false"/>
        <w:vanish w:val="false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  <w:lvlOverride w:ilvl="0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4"/>
  </w:num>
  <w:num w:numId="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5"/>
  </w:num>
  <w:num w:numId="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26"/>
  </w:num>
  <w:num w:numId="96">
    <w:abstractNumId w:val="28"/>
  </w:num>
  <w:num w:numId="97">
    <w:abstractNumId w:val="18"/>
  </w:num>
  <w:num w:numId="98">
    <w:abstractNumId w:val="14"/>
  </w:num>
  <w:num w:numId="99">
    <w:abstractNumId w:val="11"/>
  </w:num>
  <w:num w:numId="100">
    <w:abstractNumId w:val="21"/>
  </w:num>
  <w:num w:numId="101">
    <w:abstractNumId w:val="23"/>
  </w:num>
  <w:num w:numId="102">
    <w:abstractNumId w:val="22"/>
  </w:num>
  <w:num w:numId="103">
    <w:abstractNumId w:val="24"/>
  </w:num>
  <w:num w:numId="104">
    <w:abstractNumId w:val="10"/>
  </w:num>
  <w:num w:numId="105">
    <w:abstractNumId w:val="16"/>
  </w:num>
  <w:num w:numId="106">
    <w:abstractNumId w:val="17"/>
  </w:num>
  <w:num w:numId="107">
    <w:abstractNumId w:val="13"/>
  </w:num>
  <w:num w:numId="108">
    <w:abstractNumId w:val="20"/>
  </w:num>
  <w:num w:numId="109">
    <w:abstractNumId w:val="27"/>
  </w:num>
  <w:num w:numId="110">
    <w:abstractNumId w:val="25"/>
  </w:num>
  <w:num w:numId="111">
    <w:abstractNumId w:val="9"/>
  </w:num>
  <w:num w:numId="112">
    <w:abstractNumId w:val="7"/>
  </w:num>
  <w:num w:numId="113">
    <w:abstractNumId w:val="6"/>
  </w:num>
  <w:num w:numId="114">
    <w:abstractNumId w:val="5"/>
  </w:num>
  <w:num w:numId="115">
    <w:abstractNumId w:val="4"/>
  </w:num>
  <w:num w:numId="116">
    <w:abstractNumId w:val="3"/>
  </w:num>
  <w:num w:numId="117">
    <w:abstractNumId w:val="2"/>
  </w:num>
  <w:num w:numId="118">
    <w:abstractNumId w:val="1"/>
  </w:num>
  <w:num w:numId="119">
    <w:abstractNumId w:val="0"/>
  </w:num>
  <w:num w:numId="120">
    <w:abstractNumId w:val="8"/>
  </w:num>
  <w:num w:numId="121">
    <w:abstractNumId w:val="12"/>
  </w:num>
  <w:num w:numId="1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19"/>
  </w:num>
  <w:num w:numId="1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28"/>
  </w:num>
  <w:num w:numId="1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formatting="1"/>
  <w:defaultTabStop w:val="11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970"/>
    <w:link w:val="96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970"/>
    <w:link w:val="962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970"/>
    <w:link w:val="963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970"/>
    <w:link w:val="964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970"/>
    <w:link w:val="965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970"/>
    <w:link w:val="966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970"/>
    <w:link w:val="96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970"/>
    <w:link w:val="968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970"/>
    <w:link w:val="969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960"/>
    <w:uiPriority w:val="34"/>
    <w:qFormat/>
    <w:pPr>
      <w:contextualSpacing/>
      <w:ind w:left="720"/>
    </w:pPr>
  </w:style>
  <w:style w:type="character" w:styleId="33">
    <w:name w:val="Title Char"/>
    <w:basedOn w:val="970"/>
    <w:link w:val="1128"/>
    <w:uiPriority w:val="10"/>
    <w:rPr>
      <w:sz w:val="48"/>
      <w:szCs w:val="48"/>
    </w:rPr>
  </w:style>
  <w:style w:type="character" w:styleId="35">
    <w:name w:val="Subtitle Char"/>
    <w:basedOn w:val="970"/>
    <w:link w:val="1040"/>
    <w:uiPriority w:val="11"/>
    <w:rPr>
      <w:sz w:val="24"/>
      <w:szCs w:val="24"/>
    </w:rPr>
  </w:style>
  <w:style w:type="character" w:styleId="37">
    <w:name w:val="Quote Char"/>
    <w:link w:val="1170"/>
    <w:uiPriority w:val="29"/>
    <w:rPr>
      <w:i/>
    </w:rPr>
  </w:style>
  <w:style w:type="character" w:styleId="39">
    <w:name w:val="Intense Quote Char"/>
    <w:link w:val="1174"/>
    <w:uiPriority w:val="30"/>
    <w:rPr>
      <w:i/>
    </w:rPr>
  </w:style>
  <w:style w:type="character" w:styleId="41">
    <w:name w:val="Header Char"/>
    <w:basedOn w:val="970"/>
    <w:link w:val="980"/>
    <w:uiPriority w:val="99"/>
  </w:style>
  <w:style w:type="character" w:styleId="43">
    <w:name w:val="Footer Char"/>
    <w:basedOn w:val="970"/>
    <w:link w:val="1146"/>
    <w:uiPriority w:val="99"/>
  </w:style>
  <w:style w:type="character" w:styleId="45">
    <w:name w:val="Caption Char"/>
    <w:basedOn w:val="1121"/>
    <w:link w:val="1146"/>
    <w:uiPriority w:val="99"/>
  </w:style>
  <w:style w:type="table" w:styleId="47">
    <w:name w:val="Table Grid Light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9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9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9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9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1157"/>
    <w:uiPriority w:val="99"/>
    <w:rPr>
      <w:sz w:val="18"/>
    </w:rPr>
  </w:style>
  <w:style w:type="paragraph" w:styleId="176">
    <w:name w:val="endnote text"/>
    <w:basedOn w:val="96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70"/>
    <w:uiPriority w:val="99"/>
    <w:semiHidden/>
    <w:unhideWhenUsed/>
    <w:rPr>
      <w:vertAlign w:val="superscript"/>
    </w:rPr>
  </w:style>
  <w:style w:type="paragraph" w:styleId="960" w:default="1">
    <w:name w:val="Normal"/>
    <w:qFormat/>
    <w:pPr>
      <w:ind w:firstLine="567"/>
      <w:jc w:val="both"/>
    </w:pPr>
    <w:rPr>
      <w:sz w:val="24"/>
    </w:rPr>
  </w:style>
  <w:style w:type="paragraph" w:styleId="961">
    <w:name w:val="Heading 1"/>
    <w:next w:val="985"/>
    <w:link w:val="1183"/>
    <w:qFormat/>
    <w:pPr>
      <w:numPr>
        <w:numId w:val="109"/>
      </w:numPr>
      <w:contextualSpacing/>
      <w:jc w:val="center"/>
      <w:keepNext/>
      <w:pageBreakBefore/>
      <w:spacing w:before="240" w:after="360"/>
      <w:tabs>
        <w:tab w:val="left" w:pos="567" w:leader="none"/>
      </w:tabs>
      <w:outlineLvl w:val="0"/>
    </w:pPr>
    <w:rPr>
      <w:b/>
      <w:caps/>
      <w:sz w:val="32"/>
      <w:szCs w:val="36"/>
    </w:rPr>
  </w:style>
  <w:style w:type="paragraph" w:styleId="962">
    <w:name w:val="Heading 2"/>
    <w:basedOn w:val="961"/>
    <w:next w:val="985"/>
    <w:link w:val="1166"/>
    <w:qFormat/>
    <w:pPr>
      <w:numPr>
        <w:ilvl w:val="1"/>
      </w:numPr>
      <w:jc w:val="left"/>
      <w:keepLines/>
      <w:pageBreakBefore w:val="0"/>
      <w:spacing w:after="240"/>
      <w:tabs>
        <w:tab w:val="left" w:pos="851" w:leader="none"/>
      </w:tabs>
      <w:outlineLvl w:val="1"/>
    </w:pPr>
    <w:rPr>
      <w:rFonts w:cs="Arial"/>
      <w:bCs/>
      <w:iCs/>
      <w:caps w:val="0"/>
      <w:szCs w:val="32"/>
    </w:rPr>
  </w:style>
  <w:style w:type="paragraph" w:styleId="963">
    <w:name w:val="Heading 3"/>
    <w:basedOn w:val="962"/>
    <w:next w:val="985"/>
    <w:link w:val="1184"/>
    <w:qFormat/>
    <w:pPr>
      <w:numPr>
        <w:ilvl w:val="2"/>
      </w:numPr>
      <w:tabs>
        <w:tab w:val="clear" w:pos="851" w:leader="none"/>
        <w:tab w:val="left" w:pos="964" w:leader="none"/>
      </w:tabs>
      <w:outlineLvl w:val="2"/>
    </w:pPr>
    <w:rPr>
      <w:bCs w:val="0"/>
      <w:sz w:val="26"/>
      <w:szCs w:val="26"/>
    </w:rPr>
  </w:style>
  <w:style w:type="paragraph" w:styleId="964">
    <w:name w:val="Heading 4"/>
    <w:basedOn w:val="963"/>
    <w:next w:val="985"/>
    <w:link w:val="1182"/>
    <w:qFormat/>
    <w:pPr>
      <w:numPr>
        <w:ilvl w:val="3"/>
      </w:numPr>
      <w:tabs>
        <w:tab w:val="clear" w:pos="964" w:leader="none"/>
        <w:tab w:val="left" w:pos="1134" w:leader="none"/>
      </w:tabs>
      <w:outlineLvl w:val="3"/>
    </w:pPr>
    <w:rPr>
      <w:sz w:val="24"/>
    </w:rPr>
  </w:style>
  <w:style w:type="paragraph" w:styleId="965">
    <w:name w:val="Heading 5"/>
    <w:basedOn w:val="964"/>
    <w:next w:val="985"/>
    <w:link w:val="1185"/>
    <w:qFormat/>
    <w:pPr>
      <w:numPr>
        <w:ilvl w:val="4"/>
      </w:numPr>
      <w:spacing w:after="120"/>
      <w:tabs>
        <w:tab w:val="clear" w:pos="1134" w:leader="none"/>
        <w:tab w:val="left" w:pos="1276" w:leader="none"/>
      </w:tabs>
      <w:outlineLvl w:val="4"/>
    </w:pPr>
    <w:rPr>
      <w:rFonts w:cs="Times New Roman"/>
      <w:bCs/>
      <w:iCs w:val="0"/>
      <w:lang w:eastAsia="ko-KR"/>
    </w:rPr>
  </w:style>
  <w:style w:type="paragraph" w:styleId="966">
    <w:name w:val="Heading 6"/>
    <w:basedOn w:val="965"/>
    <w:next w:val="985"/>
    <w:link w:val="1186"/>
    <w:qFormat/>
    <w:pPr>
      <w:numPr>
        <w:ilvl w:val="5"/>
      </w:numPr>
      <w:tabs>
        <w:tab w:val="clear" w:pos="1276" w:leader="none"/>
        <w:tab w:val="left" w:pos="1418" w:leader="none"/>
      </w:tabs>
      <w:outlineLvl w:val="5"/>
    </w:pPr>
    <w:rPr>
      <w:bCs w:val="0"/>
      <w:i/>
      <w:szCs w:val="22"/>
    </w:rPr>
  </w:style>
  <w:style w:type="paragraph" w:styleId="967">
    <w:name w:val="Heading 7"/>
    <w:basedOn w:val="960"/>
    <w:next w:val="960"/>
    <w:link w:val="1187"/>
    <w:qFormat/>
    <w:pPr>
      <w:numPr>
        <w:ilvl w:val="6"/>
        <w:numId w:val="109"/>
      </w:numPr>
      <w:spacing w:before="240" w:after="60"/>
      <w:outlineLvl w:val="6"/>
    </w:pPr>
  </w:style>
  <w:style w:type="paragraph" w:styleId="968">
    <w:name w:val="Heading 8"/>
    <w:basedOn w:val="960"/>
    <w:next w:val="960"/>
    <w:link w:val="1188"/>
    <w:qFormat/>
    <w:pPr>
      <w:numPr>
        <w:ilvl w:val="7"/>
        <w:numId w:val="109"/>
      </w:numPr>
      <w:spacing w:before="240" w:after="60"/>
      <w:outlineLvl w:val="7"/>
    </w:pPr>
    <w:rPr>
      <w:i/>
      <w:iCs/>
    </w:rPr>
  </w:style>
  <w:style w:type="paragraph" w:styleId="969">
    <w:name w:val="Heading 9"/>
    <w:basedOn w:val="960"/>
    <w:next w:val="960"/>
    <w:link w:val="1189"/>
    <w:qFormat/>
    <w:pPr>
      <w:numPr>
        <w:ilvl w:val="8"/>
        <w:numId w:val="110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styleId="970" w:default="1">
    <w:name w:val="Default Paragraph Font"/>
    <w:uiPriority w:val="1"/>
    <w:semiHidden/>
    <w:unhideWhenUsed/>
  </w:style>
  <w:style w:type="table" w:styleId="9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2" w:default="1">
    <w:name w:val="No List"/>
    <w:uiPriority w:val="99"/>
    <w:semiHidden/>
    <w:unhideWhenUsed/>
  </w:style>
  <w:style w:type="paragraph" w:styleId="973" w:customStyle="1">
    <w:name w:val="_GOST_Figure"/>
    <w:next w:val="974"/>
    <w:pPr>
      <w:jc w:val="center"/>
      <w:keepNext/>
      <w:spacing w:before="120" w:after="120"/>
    </w:pPr>
    <w:rPr>
      <w:sz w:val="24"/>
    </w:rPr>
  </w:style>
  <w:style w:type="paragraph" w:styleId="974" w:customStyle="1">
    <w:name w:val="_GOST_Fig_Name"/>
    <w:basedOn w:val="973"/>
    <w:next w:val="985"/>
    <w:pPr>
      <w:numPr>
        <w:numId w:val="95"/>
      </w:numPr>
      <w:contextualSpacing/>
      <w:keepNext w:val="0"/>
    </w:pPr>
    <w:rPr>
      <w:b/>
      <w:szCs w:val="24"/>
    </w:rPr>
  </w:style>
  <w:style w:type="paragraph" w:styleId="975" w:customStyle="1">
    <w:name w:val="_GOST_header"/>
    <w:rPr>
      <w:rFonts w:ascii="Arial" w:hAnsi="Arial"/>
      <w:b/>
      <w:color w:val="333333"/>
    </w:rPr>
  </w:style>
  <w:style w:type="paragraph" w:styleId="976" w:customStyle="1">
    <w:name w:val="_GOST_List_mark1"/>
    <w:pPr>
      <w:numPr>
        <w:numId w:val="96"/>
      </w:numPr>
      <w:jc w:val="both"/>
    </w:pPr>
    <w:rPr>
      <w:sz w:val="24"/>
    </w:rPr>
  </w:style>
  <w:style w:type="paragraph" w:styleId="977" w:customStyle="1">
    <w:name w:val="_GOST_List_mark2"/>
    <w:pPr>
      <w:numPr>
        <w:numId w:val="97"/>
      </w:numPr>
      <w:jc w:val="both"/>
    </w:pPr>
    <w:rPr>
      <w:sz w:val="24"/>
    </w:rPr>
  </w:style>
  <w:style w:type="paragraph" w:styleId="978" w:customStyle="1">
    <w:name w:val="_GOST_List_mark3"/>
    <w:basedOn w:val="960"/>
    <w:pPr>
      <w:numPr>
        <w:numId w:val="98"/>
      </w:numPr>
    </w:pPr>
  </w:style>
  <w:style w:type="paragraph" w:styleId="979" w:customStyle="1">
    <w:name w:val="_GOST_List_mark4"/>
    <w:basedOn w:val="960"/>
    <w:pPr>
      <w:numPr>
        <w:numId w:val="129"/>
      </w:numPr>
    </w:pPr>
  </w:style>
  <w:style w:type="paragraph" w:styleId="980">
    <w:name w:val="Header"/>
    <w:basedOn w:val="960"/>
    <w:link w:val="1190"/>
    <w:pPr>
      <w:tabs>
        <w:tab w:val="center" w:pos="4677" w:leader="none"/>
        <w:tab w:val="right" w:pos="9355" w:leader="none"/>
      </w:tabs>
    </w:pPr>
  </w:style>
  <w:style w:type="paragraph" w:styleId="981" w:customStyle="1">
    <w:name w:val="_GOST_List_note"/>
    <w:basedOn w:val="978"/>
    <w:pPr>
      <w:numPr>
        <w:numId w:val="0"/>
      </w:numPr>
    </w:pPr>
  </w:style>
  <w:style w:type="paragraph" w:styleId="982" w:customStyle="1">
    <w:name w:val="_GOST_List_normal_1.8"/>
    <w:pPr>
      <w:ind w:left="1021"/>
      <w:jc w:val="both"/>
      <w:tabs>
        <w:tab w:val="left" w:pos="1021" w:leader="none"/>
      </w:tabs>
    </w:pPr>
    <w:rPr>
      <w:sz w:val="24"/>
    </w:rPr>
  </w:style>
  <w:style w:type="paragraph" w:styleId="983" w:customStyle="1">
    <w:name w:val="_GOST_List_num2"/>
    <w:basedOn w:val="1147"/>
    <w:pPr>
      <w:numPr>
        <w:ilvl w:val="1"/>
      </w:numPr>
    </w:pPr>
    <w:rPr>
      <w:szCs w:val="24"/>
    </w:rPr>
  </w:style>
  <w:style w:type="paragraph" w:styleId="984" w:customStyle="1">
    <w:name w:val="_GOST_Name_Table"/>
    <w:pPr>
      <w:numPr>
        <w:numId w:val="100"/>
      </w:numPr>
      <w:keepNext/>
      <w:spacing w:before="240" w:after="120"/>
    </w:pPr>
    <w:rPr>
      <w:b/>
      <w:sz w:val="24"/>
    </w:rPr>
  </w:style>
  <w:style w:type="paragraph" w:styleId="985" w:customStyle="1">
    <w:name w:val="_GOST_Normal"/>
    <w:link w:val="1181"/>
    <w:qFormat/>
    <w:pPr>
      <w:contextualSpacing/>
      <w:ind w:firstLine="567"/>
      <w:jc w:val="both"/>
      <w:spacing w:before="120" w:after="60"/>
    </w:pPr>
    <w:rPr>
      <w:sz w:val="24"/>
    </w:rPr>
  </w:style>
  <w:style w:type="paragraph" w:styleId="986" w:customStyle="1">
    <w:name w:val="_GOST_Normal_Without"/>
    <w:basedOn w:val="985"/>
    <w:next w:val="985"/>
    <w:pPr>
      <w:keepNext/>
    </w:pPr>
  </w:style>
  <w:style w:type="paragraph" w:styleId="987" w:customStyle="1">
    <w:name w:val="_GOST_Note"/>
    <w:next w:val="985"/>
    <w:link w:val="1148"/>
    <w:pPr>
      <w:ind w:left="1701" w:hanging="1701"/>
      <w:jc w:val="both"/>
      <w:spacing w:before="120" w:after="120"/>
    </w:pPr>
    <w:rPr>
      <w:sz w:val="24"/>
    </w:rPr>
  </w:style>
  <w:style w:type="paragraph" w:styleId="988" w:customStyle="1">
    <w:name w:val="_GOST_Note_Continue"/>
    <w:basedOn w:val="987"/>
    <w:pPr>
      <w:ind w:firstLine="0"/>
    </w:pPr>
  </w:style>
  <w:style w:type="paragraph" w:styleId="989" w:customStyle="1">
    <w:name w:val="_GOST_Reg"/>
    <w:next w:val="985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990" w:customStyle="1">
    <w:name w:val="_GOST_Script"/>
    <w:basedOn w:val="960"/>
    <w:pPr>
      <w:ind w:left="567" w:right="29"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</w:pPr>
    <w:rPr>
      <w:rFonts w:ascii="Courier New" w:hAnsi="Courier New"/>
      <w:spacing w:val="-20"/>
      <w:sz w:val="20"/>
      <w:lang w:val="en-US"/>
    </w:rPr>
  </w:style>
  <w:style w:type="paragraph" w:styleId="991" w:customStyle="1">
    <w:name w:val="_GOST_Sign"/>
    <w:basedOn w:val="989"/>
    <w:next w:val="985"/>
    <w:pPr>
      <w:pageBreakBefore w:val="0"/>
      <w:outlineLvl w:val="9"/>
    </w:pPr>
  </w:style>
  <w:style w:type="character" w:styleId="992" w:customStyle="1">
    <w:name w:val="_GOST_Sym_Bold"/>
    <w:rPr>
      <w:b/>
    </w:rPr>
  </w:style>
  <w:style w:type="character" w:styleId="993" w:customStyle="1">
    <w:name w:val="_GOST_Sym_Bold_Italic"/>
    <w:rPr>
      <w:b/>
      <w:i/>
    </w:rPr>
  </w:style>
  <w:style w:type="character" w:styleId="994" w:customStyle="1">
    <w:name w:val="_GOST_Sym_Italic"/>
    <w:rPr>
      <w:i/>
    </w:rPr>
  </w:style>
  <w:style w:type="table" w:styleId="995" w:customStyle="1">
    <w:name w:val="_GOST_Table"/>
    <w:basedOn w:val="971"/>
    <w:pPr>
      <w:jc w:val="both"/>
    </w:pPr>
    <w:rPr>
      <w:sz w:val="22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28" w:type="dxa"/>
        <w:top w:w="57" w:type="dxa"/>
        <w:right w:w="28" w:type="dxa"/>
        <w:bottom w:w="57" w:type="dxa"/>
      </w:tblCellMar>
    </w:tblPr>
    <w:tblStylePr w:type="band1Horz">
      <w:rPr>
        <w:rFonts w:ascii="Times New Roman" w:hAnsi="Times New Roman"/>
        <w:sz w:val="24"/>
      </w:rPr>
      <w:pPr>
        <w:ind w:left="57" w:right="57" w:firstLine="0"/>
        <w:jc w:val="left"/>
        <w:spacing w:beforeAutospacing="0" w:afterAutospacing="0" w:line="240" w:lineRule="auto"/>
        <w:outlineLvl w:val="9"/>
      </w:pPr>
    </w:tblStylePr>
    <w:tblStylePr w:type="band2Horz">
      <w:rPr>
        <w:rFonts w:ascii="Times New Roman" w:hAnsi="Times New Roman"/>
        <w:sz w:val="24"/>
      </w:rPr>
      <w:pPr>
        <w:contextualSpacing w:val="0"/>
        <w:ind w:left="57" w:right="57" w:firstLine="0"/>
        <w:jc w:val="left"/>
        <w:spacing w:beforeAutospacing="0" w:afterAutospacing="0"/>
        <w:outlineLvl w:val="9"/>
      </w:pPr>
    </w:tblStylePr>
    <w:tblStylePr w:type="firstRow">
      <w:rPr>
        <w:rFonts w:ascii="Times New Roman" w:hAnsi="Times New Roman"/>
        <w:b w:val="0"/>
        <w:sz w:val="22"/>
      </w:rPr>
      <w:pPr>
        <w:ind w:left="0" w:right="0" w:firstLine="0"/>
        <w:jc w:val="center"/>
        <w:spacing w:beforeAutospacing="0" w:afterAutospacing="0" w:line="240" w:lineRule="auto"/>
        <w:outlineLvl w:val="9"/>
      </w:pPr>
      <w:trPr>
        <w:tblHeader/>
      </w:trPr>
      <w:tcPr>
        <w:shd w:val="clear" w:color="auto" w:fill="e6e6e6"/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cBorders>
        <w:vAlign w:val="center"/>
      </w:tcPr>
    </w:tblStylePr>
  </w:style>
  <w:style w:type="paragraph" w:styleId="996" w:customStyle="1">
    <w:name w:val="_GOST_Table_norm"/>
    <w:link w:val="1164"/>
    <w:pPr>
      <w:ind w:left="57" w:right="57"/>
      <w:jc w:val="both"/>
    </w:pPr>
    <w:rPr>
      <w:sz w:val="22"/>
    </w:rPr>
  </w:style>
  <w:style w:type="paragraph" w:styleId="997" w:customStyle="1">
    <w:name w:val="_GOST_Table_Head"/>
    <w:basedOn w:val="996"/>
    <w:pPr>
      <w:ind w:left="0" w:right="0"/>
      <w:jc w:val="center"/>
      <w:keepNext/>
    </w:pPr>
    <w:rPr>
      <w:b/>
      <w:bCs/>
    </w:rPr>
  </w:style>
  <w:style w:type="paragraph" w:styleId="998" w:customStyle="1">
    <w:name w:val="_GOST_Table_List_Mark_1"/>
    <w:link w:val="1236"/>
    <w:pPr>
      <w:numPr>
        <w:numId w:val="101"/>
      </w:numPr>
      <w:ind w:right="57"/>
      <w:tabs>
        <w:tab w:val="left" w:pos="284" w:leader="none"/>
      </w:tabs>
    </w:pPr>
    <w:rPr>
      <w:sz w:val="22"/>
    </w:rPr>
  </w:style>
  <w:style w:type="paragraph" w:styleId="999" w:customStyle="1">
    <w:name w:val="_GOST_Table_List_Num_1"/>
    <w:pPr>
      <w:numPr>
        <w:numId w:val="104"/>
      </w:numPr>
    </w:pPr>
    <w:rPr>
      <w:sz w:val="22"/>
    </w:rPr>
  </w:style>
  <w:style w:type="paragraph" w:styleId="1000" w:customStyle="1">
    <w:name w:val="_GOST_Table_Num"/>
    <w:pPr>
      <w:numPr>
        <w:numId w:val="105"/>
      </w:numPr>
    </w:pPr>
    <w:rPr>
      <w:sz w:val="22"/>
    </w:rPr>
  </w:style>
  <w:style w:type="paragraph" w:styleId="1001" w:customStyle="1">
    <w:name w:val="_GOST_Titul_0"/>
    <w:pPr>
      <w:contextualSpacing/>
      <w:jc w:val="center"/>
      <w:spacing w:line="360" w:lineRule="auto"/>
    </w:pPr>
    <w:rPr>
      <w:sz w:val="28"/>
      <w:szCs w:val="28"/>
    </w:rPr>
  </w:style>
  <w:style w:type="character" w:styleId="1002" w:customStyle="1">
    <w:name w:val="Текст примечания Знак"/>
    <w:link w:val="1025"/>
  </w:style>
  <w:style w:type="paragraph" w:styleId="1003" w:customStyle="1">
    <w:name w:val="_GOST_Titul_1"/>
    <w:pPr>
      <w:contextualSpacing/>
      <w:jc w:val="center"/>
      <w:spacing w:before="240" w:after="240"/>
    </w:pPr>
    <w:rPr>
      <w:sz w:val="32"/>
      <w:szCs w:val="28"/>
    </w:rPr>
  </w:style>
  <w:style w:type="paragraph" w:styleId="1004" w:customStyle="1">
    <w:name w:val="_GOST_Titul_2"/>
    <w:pPr>
      <w:jc w:val="center"/>
    </w:pPr>
    <w:rPr>
      <w:b/>
      <w:caps/>
      <w:sz w:val="32"/>
      <w:szCs w:val="28"/>
    </w:rPr>
  </w:style>
  <w:style w:type="paragraph" w:styleId="1005" w:customStyle="1">
    <w:name w:val="_GOST_Titul_name_doc"/>
    <w:pPr>
      <w:contextualSpacing/>
      <w:jc w:val="center"/>
      <w:spacing w:before="200" w:after="400"/>
    </w:pPr>
    <w:rPr>
      <w:b/>
      <w:sz w:val="32"/>
      <w:szCs w:val="28"/>
    </w:rPr>
  </w:style>
  <w:style w:type="paragraph" w:styleId="1006" w:customStyle="1">
    <w:name w:val="Заг_Приложение"/>
    <w:basedOn w:val="961"/>
    <w:next w:val="985"/>
    <w:pPr>
      <w:numPr>
        <w:numId w:val="108"/>
      </w:numPr>
    </w:pPr>
  </w:style>
  <w:style w:type="paragraph" w:styleId="1007" w:customStyle="1">
    <w:name w:val="Заг_2_Приложение"/>
    <w:basedOn w:val="1006"/>
    <w:next w:val="985"/>
    <w:link w:val="1008"/>
    <w:pPr>
      <w:numPr>
        <w:numId w:val="0"/>
      </w:numPr>
      <w:ind w:left="454" w:hanging="454"/>
      <w:jc w:val="left"/>
      <w:pageBreakBefore w:val="0"/>
      <w:spacing w:after="240"/>
      <w:tabs>
        <w:tab w:val="clear" w:pos="567" w:leader="none"/>
      </w:tabs>
    </w:pPr>
    <w:rPr>
      <w:caps w:val="0"/>
    </w:rPr>
  </w:style>
  <w:style w:type="character" w:styleId="1008" w:customStyle="1">
    <w:name w:val="Заг_2_Приложение Знак"/>
    <w:link w:val="1007"/>
    <w:rPr>
      <w:b/>
      <w:sz w:val="32"/>
      <w:szCs w:val="36"/>
    </w:rPr>
  </w:style>
  <w:style w:type="paragraph" w:styleId="1009" w:customStyle="1">
    <w:name w:val="Заг_3_Приложение"/>
    <w:basedOn w:val="960"/>
    <w:next w:val="985"/>
    <w:pPr>
      <w:contextualSpacing/>
      <w:ind w:left="567" w:hanging="567"/>
      <w:keepNext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1010">
    <w:name w:val="Body Text"/>
    <w:basedOn w:val="960"/>
    <w:link w:val="1033"/>
    <w:semiHidden/>
    <w:pPr>
      <w:spacing w:after="240"/>
    </w:pPr>
  </w:style>
  <w:style w:type="character" w:styleId="1011">
    <w:name w:val="Hyperlink"/>
    <w:uiPriority w:val="99"/>
    <w:rPr>
      <w:color w:val="0000FF"/>
      <w:u w:val="single"/>
    </w:rPr>
  </w:style>
  <w:style w:type="paragraph" w:styleId="1012">
    <w:name w:val="toc 1"/>
    <w:uiPriority w:val="39"/>
    <w:pPr>
      <w:ind w:left="454" w:right="567" w:hanging="454"/>
      <w:spacing w:before="60" w:after="60"/>
      <w:tabs>
        <w:tab w:val="left" w:pos="454" w:leader="none"/>
        <w:tab w:val="right" w:pos="9631" w:leader="dot"/>
      </w:tabs>
    </w:pPr>
    <w:rPr>
      <w:b/>
      <w:bCs/>
      <w:caps/>
      <w:sz w:val="24"/>
      <w:szCs w:val="24"/>
    </w:rPr>
  </w:style>
  <w:style w:type="paragraph" w:styleId="1013">
    <w:name w:val="toc 2"/>
    <w:basedOn w:val="1012"/>
    <w:uiPriority w:val="39"/>
    <w:pPr>
      <w:contextualSpacing/>
      <w:ind w:left="851" w:hanging="567"/>
      <w:tabs>
        <w:tab w:val="clear" w:pos="454" w:leader="none"/>
        <w:tab w:val="left" w:pos="851" w:leader="none"/>
      </w:tabs>
    </w:pPr>
    <w:rPr>
      <w:b w:val="0"/>
      <w:caps w:val="0"/>
    </w:rPr>
  </w:style>
  <w:style w:type="paragraph" w:styleId="1014">
    <w:name w:val="toc 3"/>
    <w:basedOn w:val="1013"/>
    <w:uiPriority w:val="39"/>
    <w:pPr>
      <w:ind w:left="1418" w:hanging="851"/>
      <w:tabs>
        <w:tab w:val="clear" w:pos="851" w:leader="none"/>
        <w:tab w:val="left" w:pos="1418" w:leader="none"/>
      </w:tabs>
    </w:pPr>
    <w:rPr>
      <w:iCs/>
    </w:rPr>
  </w:style>
  <w:style w:type="paragraph" w:styleId="1015">
    <w:name w:val="Body Text Indent"/>
    <w:basedOn w:val="960"/>
    <w:next w:val="960"/>
    <w:link w:val="1191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16">
    <w:name w:val="Body Text Indent 2"/>
    <w:basedOn w:val="960"/>
    <w:link w:val="1192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b/>
      <w:sz w:val="20"/>
    </w:rPr>
  </w:style>
  <w:style w:type="paragraph" w:styleId="1017">
    <w:name w:val="Document Map"/>
    <w:basedOn w:val="960"/>
    <w:link w:val="1193"/>
    <w:semiHidden/>
    <w:pPr>
      <w:shd w:val="clear" w:color="auto" w:fill="000080"/>
    </w:pPr>
    <w:rPr>
      <w:rFonts w:ascii="Tahoma" w:hAnsi="Tahoma" w:cs="Tahoma"/>
      <w:sz w:val="20"/>
    </w:rPr>
  </w:style>
  <w:style w:type="paragraph" w:styleId="1018">
    <w:name w:val="toc 4"/>
    <w:basedOn w:val="960"/>
    <w:next w:val="960"/>
    <w:uiPriority w:val="39"/>
    <w:pPr>
      <w:ind w:left="1872" w:right="567" w:hanging="1021"/>
      <w:tabs>
        <w:tab w:val="left" w:pos="1871" w:leader="none"/>
        <w:tab w:val="right" w:pos="9633" w:leader="dot"/>
      </w:tabs>
    </w:pPr>
  </w:style>
  <w:style w:type="paragraph" w:styleId="1019">
    <w:name w:val="Body Text 3"/>
    <w:basedOn w:val="960"/>
    <w:link w:val="1194"/>
    <w:semiHidden/>
    <w:pPr>
      <w:spacing w:after="120"/>
    </w:pPr>
    <w:rPr>
      <w:sz w:val="16"/>
      <w:szCs w:val="16"/>
    </w:rPr>
  </w:style>
  <w:style w:type="paragraph" w:styleId="1020" w:customStyle="1">
    <w:name w:val="_GOST_List_normal_1"/>
    <w:pPr>
      <w:contextualSpacing/>
      <w:ind w:left="851"/>
      <w:jc w:val="both"/>
      <w:spacing w:before="60" w:after="60"/>
      <w:tabs>
        <w:tab w:val="left" w:pos="284" w:leader="none"/>
      </w:tabs>
    </w:pPr>
    <w:rPr>
      <w:sz w:val="24"/>
    </w:rPr>
  </w:style>
  <w:style w:type="numbering" w:styleId="1021">
    <w:name w:val="Outline List 2"/>
    <w:basedOn w:val="972"/>
    <w:semiHidden/>
    <w:pPr>
      <w:numPr>
        <w:numId w:val="106"/>
      </w:numPr>
    </w:pPr>
  </w:style>
  <w:style w:type="numbering" w:styleId="1022">
    <w:name w:val="Outline List 1"/>
    <w:basedOn w:val="972"/>
    <w:semiHidden/>
    <w:pPr>
      <w:numPr>
        <w:numId w:val="107"/>
      </w:numPr>
    </w:pPr>
  </w:style>
  <w:style w:type="paragraph" w:styleId="1023">
    <w:name w:val="Balloon Text"/>
    <w:basedOn w:val="960"/>
    <w:link w:val="1195"/>
    <w:semiHidden/>
    <w:rPr>
      <w:rFonts w:ascii="Tahoma" w:hAnsi="Tahoma" w:cs="Tahoma"/>
      <w:sz w:val="16"/>
      <w:szCs w:val="16"/>
    </w:rPr>
  </w:style>
  <w:style w:type="paragraph" w:styleId="1024" w:customStyle="1">
    <w:name w:val="_GOST_List_normal_2.8"/>
    <w:pPr>
      <w:contextualSpacing/>
      <w:ind w:left="1588"/>
      <w:jc w:val="both"/>
      <w:spacing w:before="60" w:after="60"/>
      <w:tabs>
        <w:tab w:val="left" w:pos="1588" w:leader="none"/>
      </w:tabs>
    </w:pPr>
    <w:rPr>
      <w:sz w:val="24"/>
    </w:rPr>
  </w:style>
  <w:style w:type="paragraph" w:styleId="1025">
    <w:name w:val="annotation text"/>
    <w:basedOn w:val="960"/>
    <w:link w:val="1002"/>
    <w:rPr>
      <w:sz w:val="20"/>
    </w:rPr>
  </w:style>
  <w:style w:type="paragraph" w:styleId="1026">
    <w:name w:val="annotation subject"/>
    <w:basedOn w:val="1025"/>
    <w:next w:val="1025"/>
    <w:link w:val="1196"/>
    <w:semiHidden/>
    <w:rPr>
      <w:b/>
      <w:bCs/>
    </w:rPr>
  </w:style>
  <w:style w:type="paragraph" w:styleId="1027">
    <w:name w:val="toc 5"/>
    <w:basedOn w:val="960"/>
    <w:next w:val="960"/>
    <w:uiPriority w:val="39"/>
    <w:pPr>
      <w:ind w:left="2410" w:right="567" w:hanging="1276"/>
      <w:jc w:val="left"/>
      <w:tabs>
        <w:tab w:val="left" w:pos="2410" w:leader="none"/>
        <w:tab w:val="right" w:pos="9631" w:leader="dot"/>
      </w:tabs>
    </w:pPr>
    <w:rPr>
      <w:szCs w:val="18"/>
    </w:rPr>
  </w:style>
  <w:style w:type="paragraph" w:styleId="1028">
    <w:name w:val="toc 6"/>
    <w:basedOn w:val="960"/>
    <w:next w:val="960"/>
    <w:pPr>
      <w:ind w:left="1200"/>
      <w:jc w:val="left"/>
    </w:pPr>
    <w:rPr>
      <w:sz w:val="18"/>
      <w:szCs w:val="18"/>
    </w:rPr>
  </w:style>
  <w:style w:type="paragraph" w:styleId="1029">
    <w:name w:val="toc 7"/>
    <w:basedOn w:val="960"/>
    <w:next w:val="960"/>
    <w:pPr>
      <w:ind w:left="1440"/>
      <w:jc w:val="left"/>
    </w:pPr>
    <w:rPr>
      <w:sz w:val="18"/>
      <w:szCs w:val="18"/>
    </w:rPr>
  </w:style>
  <w:style w:type="paragraph" w:styleId="1030">
    <w:name w:val="toc 8"/>
    <w:basedOn w:val="960"/>
    <w:next w:val="960"/>
    <w:pPr>
      <w:ind w:left="1680"/>
      <w:jc w:val="left"/>
    </w:pPr>
    <w:rPr>
      <w:sz w:val="18"/>
      <w:szCs w:val="18"/>
    </w:rPr>
  </w:style>
  <w:style w:type="paragraph" w:styleId="1031">
    <w:name w:val="toc 9"/>
    <w:basedOn w:val="960"/>
    <w:next w:val="960"/>
    <w:pPr>
      <w:ind w:left="1920"/>
      <w:jc w:val="left"/>
    </w:pPr>
    <w:rPr>
      <w:sz w:val="18"/>
      <w:szCs w:val="18"/>
    </w:rPr>
  </w:style>
  <w:style w:type="character" w:styleId="1032">
    <w:name w:val="footnote reference"/>
    <w:rPr>
      <w:vertAlign w:val="superscript"/>
    </w:rPr>
  </w:style>
  <w:style w:type="character" w:styleId="1033" w:customStyle="1">
    <w:name w:val="Основной текст Знак"/>
    <w:basedOn w:val="970"/>
    <w:link w:val="1010"/>
    <w:semiHidden/>
    <w:rPr>
      <w:sz w:val="24"/>
    </w:rPr>
  </w:style>
  <w:style w:type="paragraph" w:styleId="1034">
    <w:name w:val="List 4"/>
    <w:basedOn w:val="960"/>
    <w:semiHidden/>
    <w:pPr>
      <w:ind w:left="1132" w:hanging="283"/>
    </w:pPr>
  </w:style>
  <w:style w:type="paragraph" w:styleId="1035">
    <w:name w:val="Body Text 2"/>
    <w:basedOn w:val="960"/>
    <w:link w:val="1161"/>
    <w:pPr>
      <w:spacing w:after="120" w:line="480" w:lineRule="auto"/>
    </w:pPr>
  </w:style>
  <w:style w:type="paragraph" w:styleId="1036">
    <w:name w:val="Body Text Indent 3"/>
    <w:basedOn w:val="960"/>
    <w:link w:val="1197"/>
    <w:semiHidden/>
    <w:pPr>
      <w:ind w:left="283"/>
      <w:spacing w:after="120"/>
    </w:pPr>
    <w:rPr>
      <w:sz w:val="16"/>
      <w:szCs w:val="16"/>
    </w:rPr>
  </w:style>
  <w:style w:type="character" w:styleId="1037">
    <w:name w:val="FollowedHyperlink"/>
    <w:rPr>
      <w:color w:val="800080"/>
      <w:u w:val="single"/>
    </w:rPr>
  </w:style>
  <w:style w:type="character" w:styleId="1038">
    <w:name w:val="HTML Variable"/>
    <w:semiHidden/>
    <w:rPr>
      <w:i/>
      <w:iCs/>
    </w:rPr>
  </w:style>
  <w:style w:type="character" w:styleId="1039">
    <w:name w:val="HTML Typewriter"/>
    <w:semiHidden/>
    <w:rPr>
      <w:rFonts w:ascii="Courier New" w:hAnsi="Courier New" w:cs="Courier New"/>
      <w:sz w:val="20"/>
      <w:szCs w:val="20"/>
    </w:rPr>
  </w:style>
  <w:style w:type="paragraph" w:styleId="1040">
    <w:name w:val="Subtitle"/>
    <w:basedOn w:val="960"/>
    <w:link w:val="1198"/>
    <w:qFormat/>
    <w:pPr>
      <w:jc w:val="center"/>
      <w:spacing w:after="60"/>
      <w:outlineLvl w:val="1"/>
    </w:pPr>
    <w:rPr>
      <w:rFonts w:ascii="Arial" w:hAnsi="Arial" w:cs="Arial"/>
    </w:rPr>
  </w:style>
  <w:style w:type="paragraph" w:styleId="1041">
    <w:name w:val="Salutation"/>
    <w:basedOn w:val="960"/>
    <w:next w:val="960"/>
    <w:link w:val="1199"/>
    <w:semiHidden/>
  </w:style>
  <w:style w:type="paragraph" w:styleId="1042">
    <w:name w:val="List Continue"/>
    <w:basedOn w:val="960"/>
    <w:semiHidden/>
    <w:pPr>
      <w:ind w:left="283"/>
      <w:spacing w:after="120"/>
    </w:pPr>
  </w:style>
  <w:style w:type="paragraph" w:styleId="1043">
    <w:name w:val="List Continue 2"/>
    <w:basedOn w:val="960"/>
    <w:pPr>
      <w:ind w:left="566"/>
      <w:spacing w:after="120"/>
    </w:pPr>
  </w:style>
  <w:style w:type="paragraph" w:styleId="1044">
    <w:name w:val="List Continue 3"/>
    <w:basedOn w:val="960"/>
    <w:semiHidden/>
    <w:pPr>
      <w:ind w:left="849"/>
      <w:spacing w:after="120"/>
    </w:pPr>
  </w:style>
  <w:style w:type="paragraph" w:styleId="1045">
    <w:name w:val="List Continue 4"/>
    <w:basedOn w:val="960"/>
    <w:semiHidden/>
    <w:pPr>
      <w:ind w:left="1132"/>
      <w:spacing w:after="120"/>
    </w:pPr>
  </w:style>
  <w:style w:type="paragraph" w:styleId="1046">
    <w:name w:val="List Continue 5"/>
    <w:basedOn w:val="960"/>
    <w:semiHidden/>
    <w:pPr>
      <w:ind w:left="1415"/>
      <w:spacing w:after="120"/>
    </w:pPr>
  </w:style>
  <w:style w:type="table" w:styleId="1047">
    <w:name w:val="Table Simple 1"/>
    <w:basedOn w:val="971"/>
    <w:semiHidden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048">
    <w:name w:val="Table Simple 2"/>
    <w:basedOn w:val="971"/>
    <w:semiHidden/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auto" w:sz="0" w:space="0"/>
        </w:tcBorders>
      </w:tcPr>
    </w:tblStylePr>
    <w:tblStylePr w:type="swCell">
      <w:rPr>
        <w:b/>
        <w:bCs/>
      </w:rPr>
      <w:tcPr>
        <w:tcBorders>
          <w:top w:val="none" w:color="auto" w:sz="0" w:space="0"/>
        </w:tcBorders>
      </w:tcPr>
    </w:tblStylePr>
  </w:style>
  <w:style w:type="table" w:styleId="1049">
    <w:name w:val="Table Simple 3"/>
    <w:basedOn w:val="971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1050">
    <w:name w:val="Table Grid 1"/>
    <w:basedOn w:val="971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051">
    <w:name w:val="Table Grid 2"/>
    <w:basedOn w:val="971"/>
    <w:semiHidden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052">
    <w:name w:val="Table Grid 3"/>
    <w:basedOn w:val="971"/>
    <w:semiHidden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53">
    <w:name w:val="Table Grid 4"/>
    <w:basedOn w:val="971"/>
    <w:semiHidden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054">
    <w:name w:val="Table Grid 5"/>
    <w:basedOn w:val="971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55">
    <w:name w:val="Table Grid 6"/>
    <w:basedOn w:val="971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056">
    <w:name w:val="Table Grid 7"/>
    <w:basedOn w:val="971"/>
    <w:semiHidden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057">
    <w:name w:val="Table Grid 8"/>
    <w:basedOn w:val="971"/>
    <w:semiHidden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058">
    <w:name w:val="Table Contemporary"/>
    <w:basedOn w:val="971"/>
    <w:semiHidden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paragraph" w:styleId="1059">
    <w:name w:val="List"/>
    <w:basedOn w:val="960"/>
    <w:semiHidden/>
    <w:pPr>
      <w:ind w:left="283" w:hanging="283"/>
    </w:pPr>
  </w:style>
  <w:style w:type="paragraph" w:styleId="1060">
    <w:name w:val="List 2"/>
    <w:basedOn w:val="960"/>
    <w:semiHidden/>
    <w:pPr>
      <w:ind w:left="566" w:hanging="283"/>
    </w:pPr>
  </w:style>
  <w:style w:type="paragraph" w:styleId="1061">
    <w:name w:val="List 3"/>
    <w:basedOn w:val="960"/>
    <w:semiHidden/>
    <w:pPr>
      <w:ind w:left="849" w:hanging="283"/>
    </w:pPr>
  </w:style>
  <w:style w:type="paragraph" w:styleId="1062">
    <w:name w:val="List 5"/>
    <w:basedOn w:val="960"/>
    <w:semiHidden/>
    <w:pPr>
      <w:ind w:left="1415" w:hanging="283"/>
    </w:pPr>
  </w:style>
  <w:style w:type="table" w:styleId="1063">
    <w:name w:val="Table Professional"/>
    <w:basedOn w:val="971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paragraph" w:styleId="1064">
    <w:name w:val="HTML Preformatted"/>
    <w:basedOn w:val="960"/>
    <w:link w:val="1200"/>
    <w:semiHidden/>
    <w:rPr>
      <w:rFonts w:ascii="Courier New" w:hAnsi="Courier New" w:cs="Courier New"/>
      <w:sz w:val="20"/>
    </w:rPr>
  </w:style>
  <w:style w:type="numbering" w:styleId="1065">
    <w:name w:val="Outline List 3"/>
    <w:basedOn w:val="972"/>
    <w:semiHidden/>
    <w:pPr>
      <w:numPr>
        <w:numId w:val="121"/>
      </w:numPr>
    </w:pPr>
  </w:style>
  <w:style w:type="table" w:styleId="1066">
    <w:name w:val="Table Columns 1"/>
    <w:basedOn w:val="971"/>
    <w:semiHidden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67">
    <w:name w:val="Table Columns 2"/>
    <w:basedOn w:val="971"/>
    <w:semiHidden/>
    <w:rPr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68">
    <w:name w:val="Table Columns 3"/>
    <w:basedOn w:val="971"/>
    <w:semiHidden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069">
    <w:name w:val="Table Columns 4"/>
    <w:basedOn w:val="971"/>
    <w:semiHidden/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70">
    <w:name w:val="Table Columns 5"/>
    <w:basedOn w:val="971"/>
    <w:semiHidden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character" w:styleId="1071">
    <w:name w:val="Strong"/>
    <w:qFormat/>
    <w:rPr>
      <w:b/>
      <w:bCs/>
    </w:rPr>
  </w:style>
  <w:style w:type="table" w:styleId="1072">
    <w:name w:val="Table List 1"/>
    <w:basedOn w:val="971"/>
    <w:semiHidden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073">
    <w:name w:val="Table List 2"/>
    <w:basedOn w:val="971"/>
    <w:semiHidden/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074">
    <w:name w:val="Table List 3"/>
    <w:basedOn w:val="971"/>
    <w:semiHidden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075">
    <w:name w:val="Table List 4"/>
    <w:basedOn w:val="971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076">
    <w:name w:val="Table List 5"/>
    <w:basedOn w:val="971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077">
    <w:name w:val="Table List 6"/>
    <w:basedOn w:val="971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078">
    <w:name w:val="Table List 7"/>
    <w:basedOn w:val="971"/>
    <w:semiHidden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079">
    <w:name w:val="Table List 8"/>
    <w:basedOn w:val="971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paragraph" w:styleId="1080">
    <w:name w:val="Plain Text"/>
    <w:basedOn w:val="960"/>
    <w:link w:val="1201"/>
    <w:rPr>
      <w:rFonts w:ascii="Courier New" w:hAnsi="Courier New" w:cs="Courier New"/>
      <w:sz w:val="20"/>
    </w:rPr>
  </w:style>
  <w:style w:type="table" w:styleId="1081">
    <w:name w:val="Table Theme"/>
    <w:basedOn w:val="971"/>
    <w:semiHidden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82">
    <w:name w:val="Table Colorful 1"/>
    <w:basedOn w:val="971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083">
    <w:name w:val="Table Colorful 2"/>
    <w:basedOn w:val="971"/>
    <w:semiHidden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084">
    <w:name w:val="Table Colorful 3"/>
    <w:basedOn w:val="971"/>
    <w:semiHidden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paragraph" w:styleId="1085">
    <w:name w:val="Block Text"/>
    <w:basedOn w:val="960"/>
    <w:semiHidden/>
    <w:pPr>
      <w:ind w:left="1440" w:right="1440"/>
      <w:spacing w:after="120"/>
    </w:pPr>
  </w:style>
  <w:style w:type="character" w:styleId="1086">
    <w:name w:val="HTML Cite"/>
    <w:semiHidden/>
    <w:rPr>
      <w:i/>
      <w:iCs/>
    </w:rPr>
  </w:style>
  <w:style w:type="paragraph" w:styleId="1087">
    <w:name w:val="Message Header"/>
    <w:basedOn w:val="960"/>
    <w:link w:val="1202"/>
    <w:semiHidden/>
    <w:pPr>
      <w:ind w:left="1134" w:hanging="1134"/>
      <w:shd w:val="pct20" w:color="auto" w:fill="auto"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</w:pPr>
    <w:rPr>
      <w:rFonts w:ascii="Arial" w:hAnsi="Arial" w:cs="Arial"/>
    </w:rPr>
  </w:style>
  <w:style w:type="paragraph" w:styleId="1088">
    <w:name w:val="E-mail Signature"/>
    <w:basedOn w:val="960"/>
    <w:link w:val="1203"/>
    <w:semiHidden/>
  </w:style>
  <w:style w:type="paragraph" w:styleId="1089">
    <w:name w:val="Signature"/>
    <w:basedOn w:val="960"/>
    <w:link w:val="1204"/>
    <w:semiHidden/>
    <w:pPr>
      <w:ind w:left="4252"/>
    </w:pPr>
  </w:style>
  <w:style w:type="paragraph" w:styleId="1090">
    <w:name w:val="index 1"/>
    <w:basedOn w:val="960"/>
    <w:next w:val="960"/>
    <w:semiHidden/>
    <w:pPr>
      <w:ind w:left="720" w:hanging="360"/>
      <w:spacing w:line="360" w:lineRule="auto"/>
      <w:widowControl w:val="off"/>
      <w:tabs>
        <w:tab w:val="num" w:pos="720" w:leader="none"/>
        <w:tab w:val="left" w:pos="1985" w:leader="none"/>
        <w:tab w:val="left" w:pos="2127" w:leader="none"/>
      </w:tabs>
    </w:pPr>
  </w:style>
  <w:style w:type="paragraph" w:styleId="1091">
    <w:name w:val="index heading"/>
    <w:basedOn w:val="960"/>
    <w:next w:val="1090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2">
    <w:name w:val="index 2"/>
    <w:basedOn w:val="960"/>
    <w:next w:val="960"/>
    <w:semiHidden/>
    <w:pPr>
      <w:ind w:left="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3">
    <w:name w:val="index 3"/>
    <w:basedOn w:val="960"/>
    <w:next w:val="960"/>
    <w:semiHidden/>
    <w:pPr>
      <w:ind w:left="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4">
    <w:name w:val="index 4"/>
    <w:basedOn w:val="960"/>
    <w:next w:val="960"/>
    <w:semiHidden/>
    <w:pPr>
      <w:ind w:left="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5">
    <w:name w:val="index 5"/>
    <w:basedOn w:val="960"/>
    <w:next w:val="960"/>
    <w:semiHidden/>
    <w:pPr>
      <w:ind w:left="10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6">
    <w:name w:val="index 6"/>
    <w:basedOn w:val="960"/>
    <w:next w:val="960"/>
    <w:semiHidden/>
    <w:pPr>
      <w:ind w:left="12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7">
    <w:name w:val="index 7"/>
    <w:basedOn w:val="960"/>
    <w:next w:val="960"/>
    <w:semiHidden/>
    <w:pPr>
      <w:ind w:left="1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8">
    <w:name w:val="index 8"/>
    <w:basedOn w:val="960"/>
    <w:next w:val="960"/>
    <w:semiHidden/>
    <w:pPr>
      <w:ind w:left="1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99">
    <w:name w:val="index 9"/>
    <w:basedOn w:val="960"/>
    <w:next w:val="960"/>
    <w:semiHidden/>
    <w:pPr>
      <w:ind w:left="1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100">
    <w:name w:val="List Bullet"/>
    <w:basedOn w:val="960"/>
    <w:semiHidden/>
    <w:pPr>
      <w:numPr>
        <w:numId w:val="111"/>
      </w:numPr>
    </w:pPr>
  </w:style>
  <w:style w:type="paragraph" w:styleId="1101">
    <w:name w:val="List Number"/>
    <w:basedOn w:val="960"/>
    <w:semiHidden/>
    <w:pPr>
      <w:numPr>
        <w:numId w:val="120"/>
      </w:numPr>
    </w:pPr>
  </w:style>
  <w:style w:type="paragraph" w:styleId="1102">
    <w:name w:val="HTML Address"/>
    <w:basedOn w:val="960"/>
    <w:link w:val="1205"/>
    <w:semiHidden/>
    <w:rPr>
      <w:i/>
      <w:iCs/>
    </w:rPr>
  </w:style>
  <w:style w:type="paragraph" w:styleId="1103">
    <w:name w:val="envelope address"/>
    <w:basedOn w:val="960"/>
    <w:semiHidden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104">
    <w:name w:val="HTML Acronym"/>
    <w:basedOn w:val="970"/>
    <w:semiHidden/>
  </w:style>
  <w:style w:type="table" w:styleId="1105">
    <w:name w:val="Table Web 1"/>
    <w:basedOn w:val="971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106">
    <w:name w:val="Table Web 2"/>
    <w:basedOn w:val="971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107">
    <w:name w:val="Table Web 3"/>
    <w:basedOn w:val="971"/>
    <w:semiHidden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1108">
    <w:name w:val="Emphasis"/>
    <w:qFormat/>
    <w:rPr>
      <w:i/>
      <w:iCs/>
    </w:rPr>
  </w:style>
  <w:style w:type="paragraph" w:styleId="1109">
    <w:name w:val="Date"/>
    <w:basedOn w:val="960"/>
    <w:next w:val="960"/>
    <w:link w:val="1206"/>
    <w:semiHidden/>
  </w:style>
  <w:style w:type="paragraph" w:styleId="1110">
    <w:name w:val="Note Heading"/>
    <w:basedOn w:val="960"/>
    <w:next w:val="960"/>
    <w:link w:val="1207"/>
    <w:semiHidden/>
  </w:style>
  <w:style w:type="character" w:styleId="1111">
    <w:name w:val="annotation reference"/>
    <w:rPr>
      <w:sz w:val="16"/>
      <w:szCs w:val="16"/>
    </w:rPr>
  </w:style>
  <w:style w:type="table" w:styleId="1112">
    <w:name w:val="Table Elegant"/>
    <w:basedOn w:val="971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113">
    <w:name w:val="Table Subtle 1"/>
    <w:basedOn w:val="971"/>
    <w:semiHidden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114">
    <w:name w:val="Table Subtle 2"/>
    <w:basedOn w:val="971"/>
    <w:semiHidden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1115">
    <w:name w:val="HTML Keyboard"/>
    <w:semiHidden/>
    <w:rPr>
      <w:rFonts w:ascii="Courier New" w:hAnsi="Courier New" w:cs="Courier New"/>
      <w:sz w:val="20"/>
      <w:szCs w:val="20"/>
    </w:rPr>
  </w:style>
  <w:style w:type="table" w:styleId="1116">
    <w:name w:val="Table Classic 1"/>
    <w:basedOn w:val="971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117">
    <w:name w:val="Table Classic 2"/>
    <w:basedOn w:val="971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118">
    <w:name w:val="Table Classic 3"/>
    <w:basedOn w:val="971"/>
    <w:semiHidden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119">
    <w:name w:val="Table Classic 4"/>
    <w:basedOn w:val="971"/>
    <w:semiHidden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1120">
    <w:name w:val="HTML Code"/>
    <w:semiHidden/>
    <w:rPr>
      <w:rFonts w:ascii="Courier New" w:hAnsi="Courier New" w:cs="Courier New"/>
      <w:sz w:val="20"/>
      <w:szCs w:val="20"/>
    </w:rPr>
  </w:style>
  <w:style w:type="paragraph" w:styleId="1121">
    <w:name w:val="Caption"/>
    <w:basedOn w:val="960"/>
    <w:next w:val="960"/>
    <w:qFormat/>
    <w:rPr>
      <w:b/>
      <w:bCs/>
      <w:sz w:val="20"/>
    </w:rPr>
  </w:style>
  <w:style w:type="paragraph" w:styleId="1122">
    <w:name w:val="Body Text First Indent"/>
    <w:basedOn w:val="1010"/>
    <w:link w:val="1208"/>
    <w:semiHidden/>
    <w:pPr>
      <w:ind w:firstLine="210"/>
      <w:jc w:val="left"/>
      <w:spacing w:after="120"/>
    </w:pPr>
  </w:style>
  <w:style w:type="paragraph" w:styleId="1123">
    <w:name w:val="Body Text First Indent 2"/>
    <w:basedOn w:val="1015"/>
    <w:link w:val="1209"/>
    <w:semiHidden/>
    <w:pPr>
      <w:ind w:left="283" w:firstLine="210"/>
      <w:jc w:val="left"/>
      <w:spacing w:after="120" w:line="240" w:lineRule="auto"/>
      <w:widowControl/>
      <w:tabs>
        <w:tab w:val="clear" w:pos="1985" w:leader="none"/>
        <w:tab w:val="clear" w:pos="2127" w:leader="none"/>
      </w:tabs>
    </w:pPr>
    <w:rPr>
      <w:sz w:val="24"/>
      <w:szCs w:val="24"/>
    </w:rPr>
  </w:style>
  <w:style w:type="paragraph" w:styleId="1124">
    <w:name w:val="List Bullet 2"/>
    <w:basedOn w:val="960"/>
    <w:semiHidden/>
    <w:pPr>
      <w:numPr>
        <w:numId w:val="112"/>
      </w:numPr>
    </w:pPr>
  </w:style>
  <w:style w:type="paragraph" w:styleId="1125">
    <w:name w:val="List Bullet 3"/>
    <w:basedOn w:val="960"/>
    <w:pPr>
      <w:numPr>
        <w:numId w:val="113"/>
      </w:numPr>
      <w:spacing w:line="360" w:lineRule="auto"/>
      <w:widowControl w:val="off"/>
      <w:tabs>
        <w:tab w:val="left" w:pos="1985" w:leader="none"/>
        <w:tab w:val="left" w:pos="2127" w:leader="none"/>
      </w:tabs>
    </w:pPr>
  </w:style>
  <w:style w:type="paragraph" w:styleId="1126">
    <w:name w:val="List Bullet 4"/>
    <w:basedOn w:val="960"/>
    <w:semiHidden/>
    <w:pPr>
      <w:numPr>
        <w:numId w:val="114"/>
      </w:numPr>
    </w:pPr>
  </w:style>
  <w:style w:type="paragraph" w:styleId="1127">
    <w:name w:val="List Bullet 5"/>
    <w:basedOn w:val="960"/>
    <w:pPr>
      <w:numPr>
        <w:numId w:val="115"/>
      </w:numPr>
    </w:pPr>
  </w:style>
  <w:style w:type="paragraph" w:styleId="1128">
    <w:name w:val="Title"/>
    <w:basedOn w:val="960"/>
    <w:link w:val="1210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1129">
    <w:name w:val="page number"/>
    <w:basedOn w:val="970"/>
    <w:semiHidden/>
  </w:style>
  <w:style w:type="character" w:styleId="1130">
    <w:name w:val="line number"/>
    <w:basedOn w:val="970"/>
    <w:semiHidden/>
  </w:style>
  <w:style w:type="paragraph" w:styleId="1131">
    <w:name w:val="List Number 2"/>
    <w:basedOn w:val="960"/>
    <w:pPr>
      <w:numPr>
        <w:numId w:val="116"/>
      </w:numPr>
    </w:pPr>
  </w:style>
  <w:style w:type="paragraph" w:styleId="1132">
    <w:name w:val="List Number 3"/>
    <w:basedOn w:val="960"/>
    <w:semiHidden/>
    <w:pPr>
      <w:numPr>
        <w:numId w:val="117"/>
      </w:numPr>
    </w:pPr>
  </w:style>
  <w:style w:type="paragraph" w:styleId="1133">
    <w:name w:val="List Number 4"/>
    <w:basedOn w:val="960"/>
    <w:pPr>
      <w:numPr>
        <w:numId w:val="118"/>
      </w:numPr>
    </w:pPr>
  </w:style>
  <w:style w:type="paragraph" w:styleId="1134">
    <w:name w:val="List Number 5"/>
    <w:basedOn w:val="960"/>
    <w:pPr>
      <w:numPr>
        <w:numId w:val="119"/>
      </w:numPr>
    </w:pPr>
  </w:style>
  <w:style w:type="character" w:styleId="1135">
    <w:name w:val="HTML Sample"/>
    <w:semiHidden/>
    <w:rPr>
      <w:rFonts w:ascii="Courier New" w:hAnsi="Courier New" w:cs="Courier New"/>
    </w:rPr>
  </w:style>
  <w:style w:type="paragraph" w:styleId="1136">
    <w:name w:val="envelope return"/>
    <w:basedOn w:val="960"/>
    <w:semiHidden/>
    <w:rPr>
      <w:rFonts w:ascii="Arial" w:hAnsi="Arial" w:cs="Arial"/>
      <w:sz w:val="20"/>
    </w:rPr>
  </w:style>
  <w:style w:type="table" w:styleId="1137">
    <w:name w:val="Table 3D effects 1"/>
    <w:basedOn w:val="971"/>
    <w:semiHidden/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auto" w:sz="0" w:space="0"/>
          <w:right w:val="none" w:color="auto" w:sz="0" w:space="0"/>
        </w:tcBorders>
      </w:tcPr>
    </w:tblStylePr>
    <w:tblStylePr w:type="neCell">
      <w:tcPr>
        <w:tcBorders>
          <w:left w:val="none" w:color="auto" w:sz="0" w:space="0"/>
          <w:bottom w:val="none" w:color="auto" w:sz="0" w:space="0"/>
        </w:tcBorders>
      </w:tcPr>
    </w:tblStylePr>
    <w:tblStylePr w:type="swCell">
      <w:rPr>
        <w:color w:val="000080"/>
      </w:rPr>
      <w:tcPr>
        <w:tcBorders>
          <w:top w:val="none" w:color="auto" w:sz="0" w:space="0"/>
          <w:right w:val="none" w:color="auto" w:sz="0" w:space="0"/>
        </w:tcBorders>
      </w:tcPr>
    </w:tblStylePr>
    <w:tblStylePr w:type="seCell">
      <w:tcPr>
        <w:tcBorders>
          <w:top w:val="none" w:color="auto" w:sz="0" w:space="0"/>
          <w:left w:val="none" w:color="auto" w:sz="0" w:space="0"/>
        </w:tcBorders>
      </w:tcPr>
    </w:tblStylePr>
  </w:style>
  <w:style w:type="table" w:styleId="1138">
    <w:name w:val="Table 3D effects 2"/>
    <w:basedOn w:val="971"/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139">
    <w:name w:val="Table 3D effects 3"/>
    <w:basedOn w:val="971"/>
    <w:semiHidden/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paragraph" w:styleId="1140">
    <w:name w:val="Normal (Web)"/>
    <w:basedOn w:val="960"/>
  </w:style>
  <w:style w:type="paragraph" w:styleId="1141">
    <w:name w:val="Normal Indent"/>
    <w:basedOn w:val="960"/>
    <w:semiHidden/>
    <w:pPr>
      <w:ind w:left="708"/>
    </w:pPr>
  </w:style>
  <w:style w:type="character" w:styleId="1142">
    <w:name w:val="HTML Definition"/>
    <w:semiHidden/>
    <w:rPr>
      <w:i/>
      <w:iCs/>
    </w:rPr>
  </w:style>
  <w:style w:type="paragraph" w:styleId="1143">
    <w:name w:val="table of figures"/>
    <w:basedOn w:val="960"/>
    <w:next w:val="985"/>
    <w:uiPriority w:val="99"/>
    <w:pPr>
      <w:contextualSpacing/>
      <w:ind w:left="567" w:right="567" w:hanging="567"/>
      <w:jc w:val="left"/>
      <w:spacing w:before="120" w:after="120"/>
      <w:tabs>
        <w:tab w:val="left" w:pos="567" w:leader="dot"/>
        <w:tab w:val="left" w:pos="1134" w:leader="none"/>
        <w:tab w:val="right" w:pos="9631" w:leader="dot"/>
      </w:tabs>
    </w:pPr>
  </w:style>
  <w:style w:type="paragraph" w:styleId="1144" w:customStyle="1">
    <w:name w:val="_GOST_List_normal_3"/>
    <w:pPr>
      <w:contextualSpacing/>
      <w:ind w:left="1418"/>
      <w:jc w:val="both"/>
      <w:spacing w:before="60" w:after="60"/>
      <w:tabs>
        <w:tab w:val="left" w:pos="1418" w:leader="none"/>
      </w:tabs>
    </w:pPr>
    <w:rPr>
      <w:sz w:val="24"/>
    </w:rPr>
  </w:style>
  <w:style w:type="paragraph" w:styleId="1145" w:customStyle="1">
    <w:name w:val="_GOST_List_normal_4"/>
    <w:pPr>
      <w:contextualSpacing/>
      <w:ind w:left="1701"/>
      <w:jc w:val="both"/>
      <w:spacing w:before="60" w:after="60"/>
      <w:tabs>
        <w:tab w:val="left" w:pos="1701" w:leader="none"/>
      </w:tabs>
    </w:pPr>
    <w:rPr>
      <w:sz w:val="24"/>
      <w:szCs w:val="24"/>
    </w:rPr>
  </w:style>
  <w:style w:type="paragraph" w:styleId="1146">
    <w:name w:val="Footer"/>
    <w:basedOn w:val="960"/>
    <w:link w:val="1160"/>
    <w:pPr>
      <w:tabs>
        <w:tab w:val="center" w:pos="4677" w:leader="none"/>
        <w:tab w:val="right" w:pos="9355" w:leader="none"/>
      </w:tabs>
    </w:pPr>
  </w:style>
  <w:style w:type="paragraph" w:styleId="1147" w:customStyle="1">
    <w:name w:val="_GOST_List_num"/>
    <w:pPr>
      <w:numPr>
        <w:numId w:val="99"/>
      </w:numPr>
      <w:contextualSpacing/>
      <w:jc w:val="both"/>
      <w:spacing w:before="120" w:after="120"/>
    </w:pPr>
    <w:rPr>
      <w:sz w:val="24"/>
    </w:rPr>
  </w:style>
  <w:style w:type="character" w:styleId="1148" w:customStyle="1">
    <w:name w:val="_GOST_Note Знак"/>
    <w:link w:val="987"/>
    <w:rPr>
      <w:sz w:val="24"/>
    </w:rPr>
  </w:style>
  <w:style w:type="paragraph" w:styleId="1149" w:customStyle="1">
    <w:name w:val="_GOST_List_mark5"/>
    <w:basedOn w:val="979"/>
    <w:pPr>
      <w:ind w:left="1985" w:hanging="284"/>
      <w:tabs>
        <w:tab w:val="clear" w:pos="1701" w:leader="none"/>
        <w:tab w:val="left" w:pos="1985" w:leader="none"/>
      </w:tabs>
    </w:pPr>
  </w:style>
  <w:style w:type="paragraph" w:styleId="1150" w:customStyle="1">
    <w:name w:val="_GOST_List_num3"/>
    <w:basedOn w:val="983"/>
    <w:pPr>
      <w:numPr>
        <w:ilvl w:val="2"/>
      </w:numPr>
      <w:tabs>
        <w:tab w:val="left" w:pos="2268" w:leader="none"/>
      </w:tabs>
    </w:pPr>
  </w:style>
  <w:style w:type="paragraph" w:styleId="1151" w:customStyle="1">
    <w:name w:val="_GOST_List_num4"/>
    <w:basedOn w:val="1150"/>
    <w:pPr>
      <w:numPr>
        <w:ilvl w:val="3"/>
      </w:numPr>
      <w:tabs>
        <w:tab w:val="clear" w:pos="2268" w:leader="none"/>
        <w:tab w:val="left" w:pos="2835" w:leader="none"/>
      </w:tabs>
    </w:pPr>
  </w:style>
  <w:style w:type="paragraph" w:styleId="1152" w:customStyle="1">
    <w:name w:val="Заг_4_Приложение"/>
    <w:basedOn w:val="1009"/>
    <w:next w:val="985"/>
    <w:pPr>
      <w:ind w:left="737" w:hanging="737"/>
      <w:outlineLvl w:val="3"/>
    </w:pPr>
    <w:rPr>
      <w:sz w:val="26"/>
      <w:szCs w:val="26"/>
    </w:rPr>
  </w:style>
  <w:style w:type="table" w:styleId="1153">
    <w:name w:val="Table Grid"/>
    <w:basedOn w:val="97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54" w:customStyle="1">
    <w:name w:val="_GOST_List_normal_5"/>
    <w:pPr>
      <w:contextualSpacing/>
      <w:ind w:left="1985"/>
      <w:jc w:val="both"/>
      <w:spacing w:before="60" w:after="60"/>
      <w:tabs>
        <w:tab w:val="left" w:pos="1985" w:leader="none"/>
      </w:tabs>
    </w:pPr>
    <w:rPr>
      <w:sz w:val="24"/>
    </w:rPr>
  </w:style>
  <w:style w:type="paragraph" w:styleId="1155" w:customStyle="1">
    <w:name w:val="_GOST_Table_List_Num_2"/>
    <w:basedOn w:val="999"/>
    <w:pPr>
      <w:numPr>
        <w:ilvl w:val="1"/>
      </w:numPr>
    </w:pPr>
  </w:style>
  <w:style w:type="paragraph" w:styleId="1156" w:customStyle="1">
    <w:name w:val="_GOST_Table_List_Mark_2"/>
    <w:basedOn w:val="998"/>
    <w:pPr>
      <w:numPr>
        <w:numId w:val="0"/>
      </w:numPr>
      <w:tabs>
        <w:tab w:val="left" w:pos="454" w:leader="none"/>
      </w:tabs>
    </w:pPr>
  </w:style>
  <w:style w:type="paragraph" w:styleId="1157">
    <w:name w:val="footnote text"/>
    <w:link w:val="1159"/>
    <w:semiHidden/>
  </w:style>
  <w:style w:type="paragraph" w:styleId="1158">
    <w:name w:val="Revision"/>
    <w:hidden/>
    <w:uiPriority w:val="99"/>
    <w:semiHidden/>
    <w:rPr>
      <w:sz w:val="24"/>
      <w:szCs w:val="24"/>
    </w:rPr>
  </w:style>
  <w:style w:type="character" w:styleId="1159" w:customStyle="1">
    <w:name w:val="Текст сноски Знак"/>
    <w:basedOn w:val="970"/>
    <w:link w:val="1157"/>
    <w:semiHidden/>
  </w:style>
  <w:style w:type="character" w:styleId="1160" w:customStyle="1">
    <w:name w:val="Нижний колонтитул Знак"/>
    <w:link w:val="1146"/>
    <w:rPr>
      <w:sz w:val="24"/>
    </w:rPr>
  </w:style>
  <w:style w:type="character" w:styleId="1161" w:customStyle="1">
    <w:name w:val="Основной текст 2 Знак"/>
    <w:basedOn w:val="970"/>
    <w:link w:val="1035"/>
    <w:rPr>
      <w:sz w:val="24"/>
    </w:rPr>
  </w:style>
  <w:style w:type="paragraph" w:styleId="1162" w:customStyle="1">
    <w:name w:val="_GOST_Table_List_Num 1)"/>
    <w:pPr>
      <w:numPr>
        <w:numId w:val="102"/>
      </w:numPr>
      <w:tabs>
        <w:tab w:val="left" w:pos="340" w:leader="none"/>
      </w:tabs>
    </w:pPr>
    <w:rPr>
      <w:sz w:val="22"/>
      <w:szCs w:val="22"/>
    </w:rPr>
  </w:style>
  <w:style w:type="paragraph" w:styleId="1163" w:customStyle="1">
    <w:name w:val="_GOST_Table_List_Num абв)"/>
    <w:pPr>
      <w:numPr>
        <w:numId w:val="103"/>
      </w:numPr>
      <w:tabs>
        <w:tab w:val="left" w:pos="340" w:leader="none"/>
      </w:tabs>
    </w:pPr>
    <w:rPr>
      <w:sz w:val="22"/>
      <w:szCs w:val="22"/>
    </w:rPr>
  </w:style>
  <w:style w:type="character" w:styleId="1164" w:customStyle="1">
    <w:name w:val="_GOST_Table_norm Знак"/>
    <w:link w:val="996"/>
    <w:qFormat/>
    <w:rPr>
      <w:sz w:val="22"/>
    </w:rPr>
  </w:style>
  <w:style w:type="paragraph" w:styleId="1165" w:customStyle="1">
    <w:name w:val="_GOST_Titul_head"/>
    <w:basedOn w:val="960"/>
    <w:pPr>
      <w:jc w:val="center"/>
      <w:pBdr>
        <w:bottom w:val="single" w:color="auto" w:sz="12" w:space="1"/>
      </w:pBdr>
    </w:pPr>
    <w:rPr>
      <w:rFonts w:ascii="Arial" w:hAnsi="Arial"/>
      <w:b/>
      <w:bCs/>
    </w:rPr>
  </w:style>
  <w:style w:type="character" w:styleId="1166" w:customStyle="1">
    <w:name w:val="Заголовок 2 Знак"/>
    <w:basedOn w:val="970"/>
    <w:link w:val="962"/>
    <w:rPr>
      <w:rFonts w:cs="Arial"/>
      <w:b/>
      <w:bCs/>
      <w:iCs/>
      <w:sz w:val="32"/>
      <w:szCs w:val="32"/>
    </w:rPr>
  </w:style>
  <w:style w:type="paragraph" w:styleId="1167">
    <w:name w:val="toa heading"/>
    <w:basedOn w:val="960"/>
    <w:next w:val="960"/>
    <w:unhideWhenUsed/>
    <w:pPr>
      <w:ind w:left="142" w:right="90"/>
      <w:spacing w:before="120"/>
    </w:pPr>
    <w:rPr>
      <w:rFonts w:ascii="Cambria" w:hAnsi="Cambria" w:eastAsia="MS Gothic"/>
      <w:b/>
      <w:bCs/>
      <w:lang w:eastAsia="en-US"/>
    </w:rPr>
  </w:style>
  <w:style w:type="paragraph" w:styleId="1168">
    <w:name w:val="Closing"/>
    <w:basedOn w:val="960"/>
    <w:link w:val="1169"/>
    <w:pPr>
      <w:ind w:left="4252" w:right="90"/>
    </w:pPr>
    <w:rPr>
      <w:rFonts w:eastAsia="Calibri"/>
      <w:szCs w:val="28"/>
      <w:lang w:eastAsia="en-US"/>
    </w:rPr>
  </w:style>
  <w:style w:type="character" w:styleId="1169" w:customStyle="1">
    <w:name w:val="Прощание Знак"/>
    <w:basedOn w:val="970"/>
    <w:link w:val="1168"/>
    <w:rPr>
      <w:rFonts w:eastAsia="Calibri"/>
      <w:sz w:val="24"/>
      <w:szCs w:val="28"/>
      <w:lang w:eastAsia="en-US"/>
    </w:rPr>
  </w:style>
  <w:style w:type="paragraph" w:styleId="1170">
    <w:name w:val="Quote"/>
    <w:basedOn w:val="960"/>
    <w:next w:val="960"/>
    <w:link w:val="1171"/>
    <w:uiPriority w:val="29"/>
    <w:qFormat/>
    <w:rPr>
      <w:rFonts w:ascii="Calibri" w:hAnsi="Calibri"/>
      <w:i/>
      <w:lang w:val="en-US" w:bidi="en-US" w:eastAsia="en-US"/>
    </w:rPr>
  </w:style>
  <w:style w:type="character" w:styleId="1171" w:customStyle="1">
    <w:name w:val="Цитата 2 Знак"/>
    <w:basedOn w:val="970"/>
    <w:link w:val="1170"/>
    <w:uiPriority w:val="29"/>
    <w:rPr>
      <w:rFonts w:ascii="Calibri" w:hAnsi="Calibri"/>
      <w:i/>
      <w:sz w:val="24"/>
      <w:szCs w:val="24"/>
      <w:lang w:val="en-US" w:bidi="en-US" w:eastAsia="en-US"/>
    </w:rPr>
  </w:style>
  <w:style w:type="paragraph" w:styleId="1172">
    <w:name w:val="TOC Heading"/>
    <w:basedOn w:val="961"/>
    <w:next w:val="960"/>
    <w:uiPriority w:val="39"/>
    <w:qFormat/>
    <w:pPr>
      <w:numPr>
        <w:numId w:val="0"/>
      </w:numPr>
      <w:contextualSpacing w:val="0"/>
      <w:jc w:val="left"/>
      <w:pageBreakBefore w:val="0"/>
      <w:spacing w:after="60"/>
      <w:outlineLvl w:val="9"/>
    </w:pPr>
    <w:rPr>
      <w:rFonts w:ascii="Cambria" w:hAnsi="Cambria"/>
      <w:bCs/>
      <w:caps w:val="0"/>
      <w:szCs w:val="32"/>
      <w:lang w:val="en-US" w:bidi="en-US" w:eastAsia="en-US"/>
    </w:rPr>
  </w:style>
  <w:style w:type="paragraph" w:styleId="1173">
    <w:name w:val="No Spacing"/>
    <w:basedOn w:val="960"/>
    <w:uiPriority w:val="1"/>
    <w:qFormat/>
    <w:rPr>
      <w:rFonts w:ascii="Calibri" w:hAnsi="Calibri"/>
      <w:szCs w:val="32"/>
      <w:lang w:val="en-US" w:bidi="en-US" w:eastAsia="en-US"/>
    </w:rPr>
  </w:style>
  <w:style w:type="paragraph" w:styleId="1174">
    <w:name w:val="Intense Quote"/>
    <w:basedOn w:val="960"/>
    <w:next w:val="960"/>
    <w:link w:val="1175"/>
    <w:uiPriority w:val="30"/>
    <w:qFormat/>
    <w:pPr>
      <w:ind w:left="720" w:right="720"/>
    </w:pPr>
    <w:rPr>
      <w:rFonts w:ascii="Calibri" w:hAnsi="Calibri"/>
      <w:b/>
      <w:i/>
      <w:szCs w:val="22"/>
      <w:lang w:val="en-US" w:bidi="en-US" w:eastAsia="en-US"/>
    </w:rPr>
  </w:style>
  <w:style w:type="character" w:styleId="1175" w:customStyle="1">
    <w:name w:val="Выделенная цитата Знак"/>
    <w:basedOn w:val="970"/>
    <w:link w:val="1174"/>
    <w:uiPriority w:val="30"/>
    <w:rPr>
      <w:rFonts w:ascii="Calibri" w:hAnsi="Calibri"/>
      <w:b/>
      <w:i/>
      <w:sz w:val="24"/>
      <w:szCs w:val="22"/>
      <w:lang w:val="en-US" w:bidi="en-US" w:eastAsia="en-US"/>
    </w:rPr>
  </w:style>
  <w:style w:type="character" w:styleId="1176">
    <w:name w:val="Subtle Emphasis"/>
    <w:uiPriority w:val="19"/>
    <w:qFormat/>
    <w:rPr>
      <w:i/>
      <w:color w:val="5A5A5A"/>
    </w:rPr>
  </w:style>
  <w:style w:type="character" w:styleId="1177">
    <w:name w:val="Intense Emphasis"/>
    <w:uiPriority w:val="21"/>
    <w:qFormat/>
    <w:rPr>
      <w:b/>
      <w:i/>
      <w:sz w:val="24"/>
      <w:szCs w:val="24"/>
      <w:u w:val="single"/>
    </w:rPr>
  </w:style>
  <w:style w:type="character" w:styleId="1178">
    <w:name w:val="Subtle Reference"/>
    <w:uiPriority w:val="31"/>
    <w:qFormat/>
    <w:rPr>
      <w:sz w:val="24"/>
      <w:szCs w:val="24"/>
      <w:u w:val="single"/>
    </w:rPr>
  </w:style>
  <w:style w:type="character" w:styleId="1179">
    <w:name w:val="Intense Reference"/>
    <w:uiPriority w:val="32"/>
    <w:qFormat/>
    <w:rPr>
      <w:b/>
      <w:sz w:val="24"/>
      <w:u w:val="single"/>
    </w:rPr>
  </w:style>
  <w:style w:type="character" w:styleId="1180">
    <w:name w:val="Book Title"/>
    <w:uiPriority w:val="33"/>
    <w:qFormat/>
    <w:rPr>
      <w:rFonts w:ascii="Cambria" w:hAnsi="Cambria" w:eastAsia="Times New Roman"/>
      <w:b/>
      <w:i/>
      <w:sz w:val="24"/>
      <w:szCs w:val="24"/>
    </w:rPr>
  </w:style>
  <w:style w:type="character" w:styleId="1181" w:customStyle="1">
    <w:name w:val="_GOST_Normal Знак"/>
    <w:link w:val="985"/>
    <w:qFormat/>
    <w:rPr>
      <w:sz w:val="24"/>
    </w:rPr>
  </w:style>
  <w:style w:type="character" w:styleId="1182" w:customStyle="1">
    <w:name w:val="Заголовок 4 Знак"/>
    <w:basedOn w:val="970"/>
    <w:link w:val="964"/>
    <w:rPr>
      <w:rFonts w:cs="Arial"/>
      <w:b/>
      <w:iCs/>
      <w:sz w:val="24"/>
      <w:szCs w:val="26"/>
    </w:rPr>
  </w:style>
  <w:style w:type="character" w:styleId="1183" w:customStyle="1">
    <w:name w:val="Заголовок 1 Знак"/>
    <w:basedOn w:val="970"/>
    <w:link w:val="961"/>
    <w:rPr>
      <w:b/>
      <w:caps/>
      <w:sz w:val="32"/>
      <w:szCs w:val="36"/>
    </w:rPr>
  </w:style>
  <w:style w:type="character" w:styleId="1184" w:customStyle="1">
    <w:name w:val="Заголовок 3 Знак"/>
    <w:basedOn w:val="970"/>
    <w:link w:val="963"/>
    <w:rPr>
      <w:rFonts w:cs="Arial"/>
      <w:b/>
      <w:iCs/>
      <w:sz w:val="26"/>
      <w:szCs w:val="26"/>
    </w:rPr>
  </w:style>
  <w:style w:type="character" w:styleId="1185" w:customStyle="1">
    <w:name w:val="Заголовок 5 Знак"/>
    <w:basedOn w:val="970"/>
    <w:link w:val="965"/>
    <w:rPr>
      <w:b/>
      <w:bCs/>
      <w:sz w:val="24"/>
      <w:szCs w:val="26"/>
      <w:lang w:eastAsia="ko-KR"/>
    </w:rPr>
  </w:style>
  <w:style w:type="character" w:styleId="1186" w:customStyle="1">
    <w:name w:val="Заголовок 6 Знак"/>
    <w:basedOn w:val="970"/>
    <w:link w:val="966"/>
    <w:rPr>
      <w:b/>
      <w:i/>
      <w:sz w:val="24"/>
      <w:szCs w:val="22"/>
      <w:lang w:eastAsia="ko-KR"/>
    </w:rPr>
  </w:style>
  <w:style w:type="character" w:styleId="1187" w:customStyle="1">
    <w:name w:val="Заголовок 7 Знак"/>
    <w:basedOn w:val="970"/>
    <w:link w:val="967"/>
    <w:rPr>
      <w:sz w:val="24"/>
    </w:rPr>
  </w:style>
  <w:style w:type="character" w:styleId="1188" w:customStyle="1">
    <w:name w:val="Заголовок 8 Знак"/>
    <w:basedOn w:val="970"/>
    <w:link w:val="968"/>
    <w:rPr>
      <w:i/>
      <w:iCs/>
      <w:sz w:val="24"/>
    </w:rPr>
  </w:style>
  <w:style w:type="character" w:styleId="1189" w:customStyle="1">
    <w:name w:val="Заголовок 9 Знак"/>
    <w:basedOn w:val="970"/>
    <w:link w:val="969"/>
    <w:rPr>
      <w:rFonts w:ascii="Arial" w:hAnsi="Arial"/>
      <w:sz w:val="22"/>
      <w:szCs w:val="22"/>
    </w:rPr>
  </w:style>
  <w:style w:type="character" w:styleId="1190" w:customStyle="1">
    <w:name w:val="Верхний колонтитул Знак"/>
    <w:basedOn w:val="970"/>
    <w:link w:val="980"/>
    <w:rPr>
      <w:sz w:val="24"/>
    </w:rPr>
  </w:style>
  <w:style w:type="character" w:styleId="1191" w:customStyle="1">
    <w:name w:val="Основной текст с отступом Знак"/>
    <w:basedOn w:val="970"/>
    <w:link w:val="1015"/>
    <w:semiHidden/>
  </w:style>
  <w:style w:type="character" w:styleId="1192" w:customStyle="1">
    <w:name w:val="Основной текст с отступом 2 Знак"/>
    <w:basedOn w:val="970"/>
    <w:link w:val="1016"/>
    <w:semiHidden/>
    <w:rPr>
      <w:b/>
    </w:rPr>
  </w:style>
  <w:style w:type="character" w:styleId="1193" w:customStyle="1">
    <w:name w:val="Схема документа Знак"/>
    <w:basedOn w:val="970"/>
    <w:link w:val="1017"/>
    <w:semiHidden/>
    <w:rPr>
      <w:rFonts w:ascii="Tahoma" w:hAnsi="Tahoma" w:cs="Tahoma"/>
      <w:shd w:val="clear" w:color="auto" w:fill="000080"/>
    </w:rPr>
  </w:style>
  <w:style w:type="character" w:styleId="1194" w:customStyle="1">
    <w:name w:val="Основной текст 3 Знак"/>
    <w:basedOn w:val="970"/>
    <w:link w:val="1019"/>
    <w:semiHidden/>
    <w:rPr>
      <w:sz w:val="16"/>
      <w:szCs w:val="16"/>
    </w:rPr>
  </w:style>
  <w:style w:type="character" w:styleId="1195" w:customStyle="1">
    <w:name w:val="Текст выноски Знак"/>
    <w:basedOn w:val="970"/>
    <w:link w:val="1023"/>
    <w:semiHidden/>
    <w:rPr>
      <w:rFonts w:ascii="Tahoma" w:hAnsi="Tahoma" w:cs="Tahoma"/>
      <w:sz w:val="16"/>
      <w:szCs w:val="16"/>
    </w:rPr>
  </w:style>
  <w:style w:type="character" w:styleId="1196" w:customStyle="1">
    <w:name w:val="Тема примечания Знак"/>
    <w:basedOn w:val="970"/>
    <w:link w:val="1026"/>
    <w:semiHidden/>
    <w:rPr>
      <w:b/>
      <w:bCs/>
    </w:rPr>
  </w:style>
  <w:style w:type="character" w:styleId="1197" w:customStyle="1">
    <w:name w:val="Основной текст с отступом 3 Знак"/>
    <w:basedOn w:val="970"/>
    <w:link w:val="1036"/>
    <w:semiHidden/>
    <w:rPr>
      <w:sz w:val="16"/>
      <w:szCs w:val="16"/>
    </w:rPr>
  </w:style>
  <w:style w:type="character" w:styleId="1198" w:customStyle="1">
    <w:name w:val="Подзаголовок Знак"/>
    <w:basedOn w:val="970"/>
    <w:link w:val="1040"/>
    <w:rPr>
      <w:rFonts w:ascii="Arial" w:hAnsi="Arial" w:cs="Arial"/>
      <w:sz w:val="24"/>
    </w:rPr>
  </w:style>
  <w:style w:type="character" w:styleId="1199" w:customStyle="1">
    <w:name w:val="Приветствие Знак"/>
    <w:basedOn w:val="970"/>
    <w:link w:val="1041"/>
    <w:semiHidden/>
    <w:rPr>
      <w:sz w:val="24"/>
    </w:rPr>
  </w:style>
  <w:style w:type="character" w:styleId="1200" w:customStyle="1">
    <w:name w:val="Стандартный HTML Знак"/>
    <w:basedOn w:val="970"/>
    <w:link w:val="1064"/>
    <w:semiHidden/>
    <w:rPr>
      <w:rFonts w:ascii="Courier New" w:hAnsi="Courier New" w:cs="Courier New"/>
    </w:rPr>
  </w:style>
  <w:style w:type="character" w:styleId="1201" w:customStyle="1">
    <w:name w:val="Текст Знак"/>
    <w:basedOn w:val="970"/>
    <w:link w:val="1080"/>
    <w:rPr>
      <w:rFonts w:ascii="Courier New" w:hAnsi="Courier New" w:cs="Courier New"/>
    </w:rPr>
  </w:style>
  <w:style w:type="character" w:styleId="1202" w:customStyle="1">
    <w:name w:val="Шапка Знак"/>
    <w:basedOn w:val="970"/>
    <w:link w:val="1087"/>
    <w:semiHidden/>
    <w:rPr>
      <w:rFonts w:ascii="Arial" w:hAnsi="Arial" w:cs="Arial"/>
      <w:sz w:val="24"/>
      <w:shd w:val="pct20" w:color="auto" w:fill="auto"/>
    </w:rPr>
  </w:style>
  <w:style w:type="character" w:styleId="1203" w:customStyle="1">
    <w:name w:val="Электронная подпись Знак"/>
    <w:basedOn w:val="970"/>
    <w:link w:val="1088"/>
    <w:semiHidden/>
    <w:rPr>
      <w:sz w:val="24"/>
    </w:rPr>
  </w:style>
  <w:style w:type="character" w:styleId="1204" w:customStyle="1">
    <w:name w:val="Подпись Знак"/>
    <w:basedOn w:val="970"/>
    <w:link w:val="1089"/>
    <w:semiHidden/>
    <w:rPr>
      <w:sz w:val="24"/>
    </w:rPr>
  </w:style>
  <w:style w:type="character" w:styleId="1205" w:customStyle="1">
    <w:name w:val="Адрес HTML Знак"/>
    <w:basedOn w:val="970"/>
    <w:link w:val="1102"/>
    <w:semiHidden/>
    <w:rPr>
      <w:i/>
      <w:iCs/>
      <w:sz w:val="24"/>
    </w:rPr>
  </w:style>
  <w:style w:type="character" w:styleId="1206" w:customStyle="1">
    <w:name w:val="Дата Знак"/>
    <w:basedOn w:val="970"/>
    <w:link w:val="1109"/>
    <w:semiHidden/>
    <w:rPr>
      <w:sz w:val="24"/>
    </w:rPr>
  </w:style>
  <w:style w:type="character" w:styleId="1207" w:customStyle="1">
    <w:name w:val="Заголовок записки Знак"/>
    <w:basedOn w:val="970"/>
    <w:link w:val="1110"/>
    <w:semiHidden/>
    <w:rPr>
      <w:sz w:val="24"/>
    </w:rPr>
  </w:style>
  <w:style w:type="character" w:styleId="1208" w:customStyle="1">
    <w:name w:val="Красная строка Знак"/>
    <w:basedOn w:val="970"/>
    <w:link w:val="1122"/>
    <w:semiHidden/>
    <w:rPr>
      <w:sz w:val="24"/>
    </w:rPr>
  </w:style>
  <w:style w:type="character" w:styleId="1209" w:customStyle="1">
    <w:name w:val="Красная строка 2 Знак"/>
    <w:basedOn w:val="1191"/>
    <w:link w:val="1123"/>
    <w:semiHidden/>
    <w:rPr>
      <w:sz w:val="24"/>
      <w:szCs w:val="24"/>
    </w:rPr>
  </w:style>
  <w:style w:type="character" w:styleId="1210" w:customStyle="1">
    <w:name w:val="Заголовок Знак"/>
    <w:basedOn w:val="970"/>
    <w:link w:val="1128"/>
    <w:rPr>
      <w:rFonts w:ascii="Arial" w:hAnsi="Arial" w:cs="Arial"/>
      <w:b/>
      <w:bCs/>
      <w:sz w:val="32"/>
      <w:szCs w:val="32"/>
    </w:rPr>
  </w:style>
  <w:style w:type="paragraph" w:styleId="1211" w:customStyle="1">
    <w:name w:val="_GOST_Table_List_Mark"/>
    <w:pPr>
      <w:ind w:left="340" w:right="57" w:hanging="227"/>
      <w:spacing w:before="60" w:after="60"/>
      <w:tabs>
        <w:tab w:val="left" w:pos="170" w:leader="none"/>
        <w:tab w:val="num" w:pos="340" w:leader="none"/>
      </w:tabs>
    </w:pPr>
    <w:rPr>
      <w:sz w:val="22"/>
    </w:rPr>
  </w:style>
  <w:style w:type="paragraph" w:styleId="1212" w:customStyle="1">
    <w:name w:val="_GOST_Table_List_Num"/>
    <w:basedOn w:val="960"/>
    <w:pPr>
      <w:contextualSpacing/>
      <w:ind w:left="284" w:right="57" w:hanging="227"/>
      <w:jc w:val="left"/>
      <w:spacing w:before="60" w:after="60"/>
      <w:tabs>
        <w:tab w:val="num" w:pos="284" w:leader="none"/>
      </w:tabs>
    </w:pPr>
    <w:rPr>
      <w:sz w:val="22"/>
      <w:szCs w:val="22"/>
    </w:rPr>
  </w:style>
  <w:style w:type="paragraph" w:styleId="1213" w:customStyle="1">
    <w:name w:val="_GOST_TITUL_0"/>
    <w:pPr>
      <w:contextualSpacing/>
      <w:jc w:val="center"/>
      <w:spacing w:line="360" w:lineRule="auto"/>
    </w:pPr>
    <w:rPr>
      <w:sz w:val="28"/>
      <w:szCs w:val="28"/>
    </w:rPr>
  </w:style>
  <w:style w:type="paragraph" w:styleId="1214" w:customStyle="1">
    <w:name w:val="_GOST_Table_List_Mark2"/>
    <w:basedOn w:val="1211"/>
    <w:next w:val="1211"/>
    <w:link w:val="1216"/>
    <w:qFormat/>
    <w:pPr>
      <w:ind w:left="452" w:firstLine="0"/>
      <w:tabs>
        <w:tab w:val="clear" w:pos="340" w:leader="none"/>
      </w:tabs>
    </w:pPr>
  </w:style>
  <w:style w:type="paragraph" w:styleId="1215" w:customStyle="1">
    <w:name w:val="_GOST_Table_List_Mark3"/>
    <w:basedOn w:val="1211"/>
    <w:next w:val="1211"/>
    <w:qFormat/>
    <w:pPr>
      <w:ind w:left="565" w:firstLine="0"/>
      <w:tabs>
        <w:tab w:val="clear" w:pos="340" w:leader="none"/>
      </w:tabs>
    </w:pPr>
  </w:style>
  <w:style w:type="character" w:styleId="1216" w:customStyle="1">
    <w:name w:val="_GOST_Table_List_Mark2 Знак"/>
    <w:link w:val="1214"/>
    <w:rPr>
      <w:sz w:val="22"/>
    </w:rPr>
  </w:style>
  <w:style w:type="paragraph" w:styleId="1217" w:customStyle="1">
    <w:name w:val="Основной текст (центр/одинарный)"/>
    <w:basedOn w:val="960"/>
    <w:link w:val="1218"/>
    <w:pPr>
      <w:ind w:firstLine="0"/>
      <w:jc w:val="center"/>
      <w:spacing w:before="120" w:after="120"/>
    </w:pPr>
    <w:rPr>
      <w:color w:val="000000"/>
      <w:sz w:val="28"/>
    </w:rPr>
  </w:style>
  <w:style w:type="character" w:styleId="1218" w:customStyle="1">
    <w:name w:val="Основной текст (центр/одинарный) Знак"/>
    <w:link w:val="1217"/>
    <w:rPr>
      <w:color w:val="000000"/>
      <w:sz w:val="28"/>
    </w:rPr>
  </w:style>
  <w:style w:type="paragraph" w:styleId="1219" w:customStyle="1">
    <w:name w:val="_GOST_List_normal_2"/>
    <w:pPr>
      <w:contextualSpacing/>
      <w:ind w:left="1134"/>
      <w:jc w:val="both"/>
      <w:spacing w:before="60" w:after="60"/>
      <w:tabs>
        <w:tab w:val="left" w:pos="1134" w:leader="none"/>
      </w:tabs>
    </w:pPr>
    <w:rPr>
      <w:sz w:val="24"/>
    </w:rPr>
  </w:style>
  <w:style w:type="character" w:styleId="1220" w:customStyle="1">
    <w:name w:val="_GOST_Report_error"/>
  </w:style>
  <w:style w:type="paragraph" w:styleId="1221" w:customStyle="1">
    <w:name w:val="_GOST_Table_List_Num_3"/>
    <w:basedOn w:val="1155"/>
    <w:pPr>
      <w:numPr>
        <w:ilvl w:val="2"/>
      </w:numPr>
    </w:pPr>
  </w:style>
  <w:style w:type="paragraph" w:styleId="1222" w:customStyle="1">
    <w:name w:val="_GOST_An"/>
    <w:pPr>
      <w:jc w:val="center"/>
      <w:spacing w:after="240"/>
      <w:outlineLvl w:val="4"/>
    </w:pPr>
    <w:rPr>
      <w:b/>
      <w:sz w:val="32"/>
    </w:rPr>
  </w:style>
  <w:style w:type="paragraph" w:styleId="1223" w:customStyle="1">
    <w:name w:val="_GOST_Table_List_Num_4"/>
    <w:basedOn w:val="1221"/>
    <w:qFormat/>
    <w:pPr>
      <w:numPr>
        <w:ilvl w:val="3"/>
      </w:numPr>
    </w:pPr>
  </w:style>
  <w:style w:type="paragraph" w:styleId="1224" w:customStyle="1">
    <w:name w:val="_GOST_Table_List_Num_5"/>
    <w:basedOn w:val="1223"/>
    <w:qFormat/>
    <w:pPr>
      <w:numPr>
        <w:ilvl w:val="4"/>
      </w:numPr>
    </w:pPr>
  </w:style>
  <w:style w:type="paragraph" w:styleId="1225" w:customStyle="1">
    <w:name w:val="_GOST_Table_List_Num_6"/>
    <w:basedOn w:val="1224"/>
    <w:qFormat/>
    <w:pPr>
      <w:numPr>
        <w:ilvl w:val="5"/>
      </w:numPr>
    </w:pPr>
  </w:style>
  <w:style w:type="paragraph" w:styleId="1226" w:customStyle="1">
    <w:name w:val="_GOST_Table_List_Num_7"/>
    <w:basedOn w:val="1225"/>
    <w:qFormat/>
    <w:pPr>
      <w:numPr>
        <w:ilvl w:val="6"/>
      </w:numPr>
    </w:pPr>
  </w:style>
  <w:style w:type="paragraph" w:styleId="1227" w:customStyle="1">
    <w:name w:val="_GOST_Ta6le_List_Num_3"/>
    <w:basedOn w:val="960"/>
    <w:pPr>
      <w:ind w:firstLine="0"/>
      <w:jc w:val="left"/>
    </w:pPr>
    <w:rPr>
      <w:sz w:val="22"/>
    </w:rPr>
  </w:style>
  <w:style w:type="paragraph" w:styleId="1228" w:customStyle="1">
    <w:name w:val="_GOST_Table_Num_2"/>
    <w:basedOn w:val="1000"/>
    <w:pPr>
      <w:numPr>
        <w:ilvl w:val="1"/>
      </w:numPr>
    </w:pPr>
  </w:style>
  <w:style w:type="paragraph" w:styleId="1229" w:customStyle="1">
    <w:name w:val="_GOST_Table_Num_3"/>
    <w:basedOn w:val="1228"/>
    <w:qFormat/>
    <w:pPr>
      <w:numPr>
        <w:ilvl w:val="2"/>
      </w:numPr>
    </w:pPr>
  </w:style>
  <w:style w:type="paragraph" w:styleId="1230" w:customStyle="1">
    <w:name w:val="_GOST_Table_Num_4"/>
    <w:basedOn w:val="1229"/>
    <w:pPr>
      <w:numPr>
        <w:ilvl w:val="3"/>
      </w:numPr>
    </w:pPr>
  </w:style>
  <w:style w:type="paragraph" w:styleId="1231" w:customStyle="1">
    <w:name w:val="_GOST_Table_Num_5"/>
    <w:basedOn w:val="1230"/>
    <w:qFormat/>
    <w:pPr>
      <w:numPr>
        <w:ilvl w:val="4"/>
      </w:numPr>
    </w:pPr>
  </w:style>
  <w:style w:type="paragraph" w:styleId="1232" w:customStyle="1">
    <w:name w:val="_GOST_Table_Num_6"/>
    <w:basedOn w:val="1231"/>
    <w:pPr>
      <w:numPr>
        <w:ilvl w:val="5"/>
      </w:numPr>
    </w:pPr>
  </w:style>
  <w:style w:type="paragraph" w:styleId="1233" w:customStyle="1">
    <w:name w:val="_GOST_Table_Num_7"/>
    <w:basedOn w:val="1232"/>
    <w:qFormat/>
    <w:pPr>
      <w:numPr>
        <w:ilvl w:val="6"/>
      </w:numPr>
    </w:pPr>
  </w:style>
  <w:style w:type="character" w:styleId="1234" w:customStyle="1">
    <w:name w:val="Выделение курсивом"/>
    <w:qFormat/>
    <w:rPr>
      <w:i/>
    </w:rPr>
  </w:style>
  <w:style w:type="paragraph" w:styleId="1235" w:customStyle="1">
    <w:name w:val="Список маркированный"/>
    <w:basedOn w:val="960"/>
    <w:semiHidden/>
    <w:pPr>
      <w:numPr>
        <w:numId w:val="91"/>
      </w:numPr>
      <w:tabs>
        <w:tab w:val="left" w:pos="1080" w:leader="none"/>
      </w:tabs>
    </w:pPr>
  </w:style>
  <w:style w:type="character" w:styleId="1236" w:customStyle="1">
    <w:name w:val="_GOST_Table_List_Mark_1 Знак"/>
    <w:link w:val="998"/>
    <w:rPr>
      <w:sz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hyperlink" Target="http://elearning.otr.ru/mod/book/tool/print/index.php?id=1247" TargetMode="External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0" Type="http://schemas.openxmlformats.org/officeDocument/2006/relationships/image" Target="media/image4.png"/><Relationship Id="rId21" Type="http://schemas.openxmlformats.org/officeDocument/2006/relationships/image" Target="media/image5.png"/><Relationship Id="rId22" Type="http://schemas.openxmlformats.org/officeDocument/2006/relationships/image" Target="media/image6.png"/><Relationship Id="rId23" Type="http://schemas.openxmlformats.org/officeDocument/2006/relationships/image" Target="media/image7.png"/><Relationship Id="rId24" Type="http://schemas.openxmlformats.org/officeDocument/2006/relationships/image" Target="media/image8.png"/><Relationship Id="rId25" Type="http://schemas.openxmlformats.org/officeDocument/2006/relationships/image" Target="media/image9.png"/><Relationship Id="rId26" Type="http://schemas.openxmlformats.org/officeDocument/2006/relationships/image" Target="media/image10.png"/><Relationship Id="rId27" Type="http://schemas.openxmlformats.org/officeDocument/2006/relationships/image" Target="media/image11.jpg"/><Relationship Id="rId28" Type="http://schemas.openxmlformats.org/officeDocument/2006/relationships/image" Target="media/image12.png"/><Relationship Id="rId29" Type="http://schemas.openxmlformats.org/officeDocument/2006/relationships/oleObject" Target="embeddings/oleObject1.bin"/><Relationship Id="rId30" Type="http://schemas.openxmlformats.org/officeDocument/2006/relationships/image" Target="media/image13.png"/><Relationship Id="rId3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3" Type="http://schemas.openxmlformats.org/officeDocument/2006/relationships/image" Target="media/image15.png"/><Relationship Id="rId34" Type="http://schemas.openxmlformats.org/officeDocument/2006/relationships/image" Target="media/image16.jpg"/><Relationship Id="rId35" Type="http://schemas.openxmlformats.org/officeDocument/2006/relationships/image" Target="media/image17.png"/><Relationship Id="rId36" Type="http://schemas.openxmlformats.org/officeDocument/2006/relationships/oleObject" Target="embeddings/oleObject3.bin"/><Relationship Id="rId37" Type="http://schemas.openxmlformats.org/officeDocument/2006/relationships/image" Target="media/image18.png"/><Relationship Id="rId38" Type="http://schemas.openxmlformats.org/officeDocument/2006/relationships/image" Target="media/image19.png"/><Relationship Id="rId39" Type="http://schemas.openxmlformats.org/officeDocument/2006/relationships/image" Target="media/image20.png"/><Relationship Id="rId40" Type="http://schemas.openxmlformats.org/officeDocument/2006/relationships/image" Target="media/image21.jpg"/><Relationship Id="rId41" Type="http://schemas.openxmlformats.org/officeDocument/2006/relationships/image" Target="media/image22.jpg"/><Relationship Id="rId42" Type="http://schemas.openxmlformats.org/officeDocument/2006/relationships/image" Target="media/image23.jpg"/><Relationship Id="rId43" Type="http://schemas.openxmlformats.org/officeDocument/2006/relationships/image" Target="media/image24.png"/><Relationship Id="rId44" Type="http://schemas.openxmlformats.org/officeDocument/2006/relationships/oleObject" Target="embeddings/oleObject4.bin"/><Relationship Id="rId45" Type="http://schemas.openxmlformats.org/officeDocument/2006/relationships/image" Target="media/image25.jpg"/><Relationship Id="rId46" Type="http://schemas.openxmlformats.org/officeDocument/2006/relationships/image" Target="media/image26.jpg"/><Relationship Id="rId47" Type="http://schemas.openxmlformats.org/officeDocument/2006/relationships/image" Target="media/image27.png"/><Relationship Id="rId48" Type="http://schemas.openxmlformats.org/officeDocument/2006/relationships/image" Target="media/image28.png"/><Relationship Id="rId49" Type="http://schemas.openxmlformats.org/officeDocument/2006/relationships/image" Target="media/image29.jpg"/><Relationship Id="rId50" Type="http://schemas.openxmlformats.org/officeDocument/2006/relationships/image" Target="media/image30.png"/><Relationship Id="rId51" Type="http://schemas.openxmlformats.org/officeDocument/2006/relationships/image" Target="media/image31.png"/><Relationship Id="rId52" Type="http://schemas.openxmlformats.org/officeDocument/2006/relationships/image" Target="media/image32.png"/><Relationship Id="rId53" Type="http://schemas.openxmlformats.org/officeDocument/2006/relationships/image" Target="media/image33.png"/><Relationship Id="rId54" Type="http://schemas.openxmlformats.org/officeDocument/2006/relationships/image" Target="media/image34.png"/><Relationship Id="rId55" Type="http://schemas.openxmlformats.org/officeDocument/2006/relationships/image" Target="media/image35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38.png"/><Relationship Id="rId59" Type="http://schemas.openxmlformats.org/officeDocument/2006/relationships/image" Target="media/image39.png"/><Relationship Id="rId60" Type="http://schemas.openxmlformats.org/officeDocument/2006/relationships/image" Target="media/image40.png"/><Relationship Id="rId61" Type="http://schemas.openxmlformats.org/officeDocument/2006/relationships/image" Target="media/image41.png"/><Relationship Id="rId62" Type="http://schemas.openxmlformats.org/officeDocument/2006/relationships/image" Target="media/image42.png"/><Relationship Id="rId63" Type="http://schemas.openxmlformats.org/officeDocument/2006/relationships/image" Target="media/image43.png"/><Relationship Id="rId64" Type="http://schemas.openxmlformats.org/officeDocument/2006/relationships/image" Target="media/image44.png"/><Relationship Id="rId65" Type="http://schemas.openxmlformats.org/officeDocument/2006/relationships/image" Target="media/image45.png"/><Relationship Id="rId66" Type="http://schemas.openxmlformats.org/officeDocument/2006/relationships/image" Target="media/image46.png"/><Relationship Id="rId67" Type="http://schemas.openxmlformats.org/officeDocument/2006/relationships/image" Target="media/image47.png"/><Relationship Id="rId68" Type="http://schemas.openxmlformats.org/officeDocument/2006/relationships/image" Target="media/image48.png"/><Relationship Id="rId69" Type="http://schemas.openxmlformats.org/officeDocument/2006/relationships/image" Target="media/image49.png"/><Relationship Id="rId70" Type="http://schemas.openxmlformats.org/officeDocument/2006/relationships/image" Target="media/image50.png"/><Relationship Id="rId71" Type="http://schemas.openxmlformats.org/officeDocument/2006/relationships/image" Target="media/image51.png"/><Relationship Id="rId72" Type="http://schemas.openxmlformats.org/officeDocument/2006/relationships/image" Target="media/image52.png"/><Relationship Id="rId73" Type="http://schemas.openxmlformats.org/officeDocument/2006/relationships/image" Target="media/image53.png"/><Relationship Id="rId74" Type="http://schemas.openxmlformats.org/officeDocument/2006/relationships/image" Target="media/image54.png"/><Relationship Id="rId75" Type="http://schemas.openxmlformats.org/officeDocument/2006/relationships/image" Target="media/image55.png"/><Relationship Id="rId76" Type="http://schemas.openxmlformats.org/officeDocument/2006/relationships/image" Target="media/image56.png"/><Relationship Id="rId77" Type="http://schemas.openxmlformats.org/officeDocument/2006/relationships/image" Target="media/image57.png"/><Relationship Id="rId78" Type="http://schemas.openxmlformats.org/officeDocument/2006/relationships/image" Target="media/image58.png"/><Relationship Id="rId79" Type="http://schemas.openxmlformats.org/officeDocument/2006/relationships/image" Target="media/image59.png"/><Relationship Id="rId80" Type="http://schemas.openxmlformats.org/officeDocument/2006/relationships/image" Target="media/image60.png"/><Relationship Id="rId81" Type="http://schemas.openxmlformats.org/officeDocument/2006/relationships/image" Target="media/image61.png"/><Relationship Id="rId82" Type="http://schemas.openxmlformats.org/officeDocument/2006/relationships/image" Target="media/image62.png"/><Relationship Id="rId83" Type="http://schemas.openxmlformats.org/officeDocument/2006/relationships/image" Target="media/image63.png"/><Relationship Id="rId84" Type="http://schemas.openxmlformats.org/officeDocument/2006/relationships/image" Target="media/image64.png"/><Relationship Id="rId85" Type="http://schemas.openxmlformats.org/officeDocument/2006/relationships/image" Target="media/image65.png"/><Relationship Id="rId86" Type="http://schemas.openxmlformats.org/officeDocument/2006/relationships/image" Target="media/image66.png"/><Relationship Id="rId87" Type="http://schemas.openxmlformats.org/officeDocument/2006/relationships/image" Target="media/image67.png"/><Relationship Id="rId88" Type="http://schemas.openxmlformats.org/officeDocument/2006/relationships/image" Target="media/image68.png"/><Relationship Id="rId89" Type="http://schemas.openxmlformats.org/officeDocument/2006/relationships/image" Target="media/image69.png"/><Relationship Id="rId90" Type="http://schemas.openxmlformats.org/officeDocument/2006/relationships/image" Target="media/image70.png"/><Relationship Id="rId91" Type="http://schemas.openxmlformats.org/officeDocument/2006/relationships/image" Target="media/image71.png"/><Relationship Id="rId92" Type="http://schemas.openxmlformats.org/officeDocument/2006/relationships/image" Target="media/image72.png"/><Relationship Id="rId93" Type="http://schemas.openxmlformats.org/officeDocument/2006/relationships/image" Target="media/image73.png"/><Relationship Id="rId94" Type="http://schemas.openxmlformats.org/officeDocument/2006/relationships/image" Target="media/image74.png"/><Relationship Id="rId95" Type="http://schemas.openxmlformats.org/officeDocument/2006/relationships/image" Target="media/image75.png"/><Relationship Id="rId96" Type="http://schemas.openxmlformats.org/officeDocument/2006/relationships/image" Target="media/image76.png"/><Relationship Id="rId97" Type="http://schemas.openxmlformats.org/officeDocument/2006/relationships/image" Target="media/image77.png"/><Relationship Id="rId98" Type="http://schemas.openxmlformats.org/officeDocument/2006/relationships/image" Target="media/image78.png"/><Relationship Id="rId99" Type="http://schemas.openxmlformats.org/officeDocument/2006/relationships/image" Target="media/image79.png"/><Relationship Id="rId100" Type="http://schemas.openxmlformats.org/officeDocument/2006/relationships/image" Target="media/image80.png"/><Relationship Id="rId101" Type="http://schemas.openxmlformats.org/officeDocument/2006/relationships/image" Target="media/image81.png"/><Relationship Id="rId102" Type="http://schemas.openxmlformats.org/officeDocument/2006/relationships/image" Target="media/image82.png"/><Relationship Id="rId103" Type="http://schemas.openxmlformats.org/officeDocument/2006/relationships/image" Target="media/image83.png"/><Relationship Id="rId104" Type="http://schemas.openxmlformats.org/officeDocument/2006/relationships/image" Target="media/image84.png"/><Relationship Id="rId105" Type="http://schemas.openxmlformats.org/officeDocument/2006/relationships/image" Target="media/image85.png"/><Relationship Id="rId106" Type="http://schemas.openxmlformats.org/officeDocument/2006/relationships/image" Target="media/image86.png"/><Relationship Id="rId107" Type="http://schemas.openxmlformats.org/officeDocument/2006/relationships/image" Target="media/image87.png"/><Relationship Id="rId108" Type="http://schemas.openxmlformats.org/officeDocument/2006/relationships/image" Target="media/image88.png"/><Relationship Id="rId109" Type="http://schemas.openxmlformats.org/officeDocument/2006/relationships/image" Target="media/image89.png"/><Relationship Id="rId110" Type="http://schemas.openxmlformats.org/officeDocument/2006/relationships/image" Target="media/image90.png"/><Relationship Id="rId111" Type="http://schemas.openxmlformats.org/officeDocument/2006/relationships/image" Target="media/image91.png"/><Relationship Id="rId112" Type="http://schemas.openxmlformats.org/officeDocument/2006/relationships/image" Target="media/image92.png"/><Relationship Id="rId113" Type="http://schemas.openxmlformats.org/officeDocument/2006/relationships/image" Target="media/image93.png"/><Relationship Id="rId114" Type="http://schemas.openxmlformats.org/officeDocument/2006/relationships/image" Target="media/image94.png"/><Relationship Id="rId115" Type="http://schemas.openxmlformats.org/officeDocument/2006/relationships/image" Target="media/image95.png"/><Relationship Id="rId116" Type="http://schemas.openxmlformats.org/officeDocument/2006/relationships/image" Target="media/image96.png"/><Relationship Id="rId117" Type="http://schemas.openxmlformats.org/officeDocument/2006/relationships/image" Target="media/image97.png"/><Relationship Id="rId118" Type="http://schemas.openxmlformats.org/officeDocument/2006/relationships/image" Target="media/image98.png"/><Relationship Id="rId119" Type="http://schemas.openxmlformats.org/officeDocument/2006/relationships/image" Target="media/image99.png"/><Relationship Id="rId120" Type="http://schemas.openxmlformats.org/officeDocument/2006/relationships/image" Target="media/image100.png"/><Relationship Id="rId121" Type="http://schemas.openxmlformats.org/officeDocument/2006/relationships/image" Target="media/image101.png"/><Relationship Id="rId122" Type="http://schemas.openxmlformats.org/officeDocument/2006/relationships/image" Target="media/image102.png"/><Relationship Id="rId123" Type="http://schemas.openxmlformats.org/officeDocument/2006/relationships/image" Target="media/image103.png"/><Relationship Id="rId124" Type="http://schemas.openxmlformats.org/officeDocument/2006/relationships/image" Target="media/image104.png"/><Relationship Id="rId125" Type="http://schemas.openxmlformats.org/officeDocument/2006/relationships/image" Target="media/image105.png"/><Relationship Id="rId126" Type="http://schemas.openxmlformats.org/officeDocument/2006/relationships/image" Target="media/image106.png"/><Relationship Id="rId127" Type="http://schemas.openxmlformats.org/officeDocument/2006/relationships/image" Target="media/image107.png"/><Relationship Id="rId128" Type="http://schemas.openxmlformats.org/officeDocument/2006/relationships/image" Target="media/image108.png"/><Relationship Id="rId129" Type="http://schemas.openxmlformats.org/officeDocument/2006/relationships/image" Target="media/image109.png"/><Relationship Id="rId130" Type="http://schemas.openxmlformats.org/officeDocument/2006/relationships/image" Target="media/image110.png"/><Relationship Id="rId131" Type="http://schemas.openxmlformats.org/officeDocument/2006/relationships/image" Target="media/image111.png"/><Relationship Id="rId132" Type="http://schemas.openxmlformats.org/officeDocument/2006/relationships/image" Target="media/image112.png"/><Relationship Id="rId133" Type="http://schemas.openxmlformats.org/officeDocument/2006/relationships/image" Target="media/image113.png"/><Relationship Id="rId134" Type="http://schemas.openxmlformats.org/officeDocument/2006/relationships/image" Target="media/image114.png"/><Relationship Id="rId135" Type="http://schemas.openxmlformats.org/officeDocument/2006/relationships/image" Target="media/image115.jpg"/><Relationship Id="rId136" Type="http://schemas.openxmlformats.org/officeDocument/2006/relationships/image" Target="media/image116.jpg"/><Relationship Id="rId137" Type="http://schemas.openxmlformats.org/officeDocument/2006/relationships/image" Target="media/image117.png"/><Relationship Id="rId138" Type="http://schemas.openxmlformats.org/officeDocument/2006/relationships/image" Target="media/image118.png"/><Relationship Id="rId139" Type="http://schemas.openxmlformats.org/officeDocument/2006/relationships/image" Target="media/image119.png"/><Relationship Id="rId140" Type="http://schemas.openxmlformats.org/officeDocument/2006/relationships/image" Target="media/image120.png"/><Relationship Id="rId141" Type="http://schemas.openxmlformats.org/officeDocument/2006/relationships/image" Target="media/image121.png"/><Relationship Id="rId142" Type="http://schemas.openxmlformats.org/officeDocument/2006/relationships/image" Target="media/image122.png"/><Relationship Id="rId143" Type="http://schemas.openxmlformats.org/officeDocument/2006/relationships/image" Target="media/image123.jpg"/><Relationship Id="rId144" Type="http://schemas.openxmlformats.org/officeDocument/2006/relationships/image" Target="media/image124.jpg"/><Relationship Id="rId145" Type="http://schemas.openxmlformats.org/officeDocument/2006/relationships/image" Target="media/image125.png"/><Relationship Id="rId146" Type="http://schemas.openxmlformats.org/officeDocument/2006/relationships/image" Target="media/image126.png"/><Relationship Id="rId147" Type="http://schemas.openxmlformats.org/officeDocument/2006/relationships/image" Target="media/image127.png"/><Relationship Id="rId148" Type="http://schemas.openxmlformats.org/officeDocument/2006/relationships/image" Target="media/image128.png"/><Relationship Id="rId149" Type="http://schemas.openxmlformats.org/officeDocument/2006/relationships/image" Target="media/image129.png"/><Relationship Id="rId150" Type="http://schemas.openxmlformats.org/officeDocument/2006/relationships/image" Target="media/image130.png"/><Relationship Id="rId151" Type="http://schemas.openxmlformats.org/officeDocument/2006/relationships/image" Target="media/image131.png"/><Relationship Id="rId152" Type="http://schemas.openxmlformats.org/officeDocument/2006/relationships/image" Target="media/image132.png"/><Relationship Id="rId153" Type="http://schemas.openxmlformats.org/officeDocument/2006/relationships/image" Target="media/image133.png"/><Relationship Id="rId154" Type="http://schemas.openxmlformats.org/officeDocument/2006/relationships/image" Target="media/image134.png"/><Relationship Id="rId155" Type="http://schemas.openxmlformats.org/officeDocument/2006/relationships/image" Target="media/image135.png"/><Relationship Id="rId156" Type="http://schemas.openxmlformats.org/officeDocument/2006/relationships/image" Target="media/image136.png"/><Relationship Id="rId157" Type="http://schemas.openxmlformats.org/officeDocument/2006/relationships/image" Target="media/image137.png"/><Relationship Id="rId158" Type="http://schemas.openxmlformats.org/officeDocument/2006/relationships/image" Target="media/image138.png"/><Relationship Id="rId159" Type="http://schemas.openxmlformats.org/officeDocument/2006/relationships/image" Target="media/image139.png"/><Relationship Id="rId160" Type="http://schemas.openxmlformats.org/officeDocument/2006/relationships/image" Target="media/image140.png"/><Relationship Id="rId161" Type="http://schemas.openxmlformats.org/officeDocument/2006/relationships/image" Target="media/image141.png"/><Relationship Id="rId162" Type="http://schemas.openxmlformats.org/officeDocument/2006/relationships/image" Target="media/image142.png"/><Relationship Id="rId163" Type="http://schemas.openxmlformats.org/officeDocument/2006/relationships/image" Target="media/image143.png"/><Relationship Id="rId164" Type="http://schemas.openxmlformats.org/officeDocument/2006/relationships/image" Target="media/image144.png"/><Relationship Id="rId165" Type="http://schemas.openxmlformats.org/officeDocument/2006/relationships/image" Target="media/image145.png"/><Relationship Id="rId166" Type="http://schemas.openxmlformats.org/officeDocument/2006/relationships/image" Target="media/image146.png"/><Relationship Id="rId167" Type="http://schemas.openxmlformats.org/officeDocument/2006/relationships/image" Target="media/image147.png"/><Relationship Id="rId168" Type="http://schemas.openxmlformats.org/officeDocument/2006/relationships/image" Target="media/image148.png"/><Relationship Id="rId169" Type="http://schemas.openxmlformats.org/officeDocument/2006/relationships/image" Target="media/image149.png"/><Relationship Id="rId170" Type="http://schemas.openxmlformats.org/officeDocument/2006/relationships/image" Target="media/image150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88A61635-92EE-494D-9355-E00606716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R7-Office/7.0.2.5</Application>
  <Company/>
  <DocSecurity>0</DocSecurity>
  <HyperlinksChanged>false</HyperlinksChanged>
  <LinksUpToDate>false</LinksUpToDate>
  <ScaleCrop>false</ScaleCrop>
  <SharedDoc>false</SharedDoc>
  <Template>Template_GOST_(РП_РА)_new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egorova.ekaterina</dc:creator>
  <cp:lastModifiedBy>УФК по Новгородской области</cp:lastModifiedBy>
  <cp:revision>241</cp:revision>
  <dcterms:created xsi:type="dcterms:W3CDTF">2018-03-28T09:47:00Z</dcterms:created>
  <dcterms:modified xsi:type="dcterms:W3CDTF">2022-08-04T05:45:55Z</dcterms:modified>
</cp:coreProperties>
</file>